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2005A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A832D2">
              <w:rPr>
                <w:rFonts w:ascii="Arial" w:hAnsi="Arial" w:cs="Arial"/>
                <w:b/>
                <w:sz w:val="22"/>
                <w:szCs w:val="22"/>
              </w:rPr>
              <w:t>Haben Sie externe Hilfestellungen in Anspruch genommen</w:t>
            </w:r>
            <w:r w:rsidR="002005AF" w:rsidRPr="00A832D2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A832D2">
              <w:rPr>
                <w:rFonts w:ascii="Arial" w:hAnsi="Arial" w:cs="Arial"/>
                <w:b/>
                <w:sz w:val="22"/>
                <w:szCs w:val="22"/>
              </w:rPr>
              <w:t xml:space="preserve">  Wenn ja, bitte geben Sie an, welche Hilfestellung</w:t>
            </w:r>
            <w:r w:rsidR="002005AF" w:rsidRPr="00A832D2">
              <w:rPr>
                <w:rFonts w:ascii="Arial" w:hAnsi="Arial" w:cs="Arial"/>
                <w:b/>
                <w:sz w:val="22"/>
                <w:szCs w:val="22"/>
              </w:rPr>
              <w:t xml:space="preserve"> Sie in Anspruch genommen haben</w:t>
            </w:r>
            <w:r w:rsidRPr="00A832D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A87D13" w:rsidP="00BD5C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Dieser Antrag wurde durch die Deutsche Gesellschaft für Allgemein-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Viszeralchirurgie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vorformuliert (DGAV).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1.1 Angefragte Untersuchungs- und Behandlungsmethode (Kurzbezeichnung)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0D6F4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EA6936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96F9A">
            <w:pPr>
              <w:tabs>
                <w:tab w:val="left" w:pos="746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1.2 Alternative Bezeichnung(en) der Methode</w:t>
            </w:r>
            <w:r w:rsidRPr="00A832D2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BD5C42" w:rsidP="00A832D2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Zerbaxa</w:t>
            </w:r>
            <w:r w:rsidR="007C7E57" w:rsidRPr="00A832D2">
              <w:rPr>
                <w:rFonts w:ascii="Arial" w:hAnsi="Arial" w:cs="Arial"/>
                <w:sz w:val="22"/>
                <w:szCs w:val="22"/>
              </w:rPr>
              <w:t>®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1.3 Beschreibung der neuen Methode</w:t>
            </w:r>
          </w:p>
        </w:tc>
      </w:tr>
      <w:tr w:rsidR="008E6675" w:rsidRPr="008B37BC">
        <w:tc>
          <w:tcPr>
            <w:tcW w:w="9212" w:type="dxa"/>
          </w:tcPr>
          <w:p w:rsidR="008B37BC" w:rsidRDefault="008B37BC" w:rsidP="003632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37BC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8B37B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B37BC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8B37BC">
              <w:rPr>
                <w:rFonts w:ascii="Arial" w:hAnsi="Arial" w:cs="Arial"/>
                <w:sz w:val="22"/>
                <w:szCs w:val="22"/>
              </w:rPr>
              <w:t xml:space="preserve"> (1 g/0,5 g Pulver für ein Konzentrat zur Hers</w:t>
            </w:r>
            <w:r>
              <w:rPr>
                <w:rFonts w:ascii="Arial" w:hAnsi="Arial" w:cs="Arial"/>
                <w:sz w:val="22"/>
                <w:szCs w:val="22"/>
              </w:rPr>
              <w:t xml:space="preserve">tellung einer Infusionslösung) </w:t>
            </w:r>
            <w:r w:rsidRPr="008B37BC">
              <w:rPr>
                <w:rFonts w:ascii="Arial" w:hAnsi="Arial" w:cs="Arial"/>
                <w:sz w:val="22"/>
                <w:szCs w:val="22"/>
              </w:rPr>
              <w:t xml:space="preserve">ist eine Kombination aus einem neuartigen </w:t>
            </w:r>
            <w:proofErr w:type="spellStart"/>
            <w:r w:rsidRPr="008B37BC">
              <w:rPr>
                <w:rFonts w:ascii="Arial" w:hAnsi="Arial" w:cs="Arial"/>
                <w:sz w:val="22"/>
                <w:szCs w:val="22"/>
              </w:rPr>
              <w:t>Cephalosporin</w:t>
            </w:r>
            <w:proofErr w:type="spellEnd"/>
            <w:r w:rsidRPr="008B37BC">
              <w:rPr>
                <w:rFonts w:ascii="Arial" w:hAnsi="Arial" w:cs="Arial"/>
                <w:sz w:val="22"/>
                <w:szCs w:val="22"/>
              </w:rPr>
              <w:t xml:space="preserve"> und einem etablierten ß-</w:t>
            </w:r>
            <w:proofErr w:type="spellStart"/>
            <w:r w:rsidRPr="008B37BC">
              <w:rPr>
                <w:rFonts w:ascii="Arial" w:hAnsi="Arial" w:cs="Arial"/>
                <w:sz w:val="22"/>
                <w:szCs w:val="22"/>
              </w:rPr>
              <w:t>Lactamase</w:t>
            </w:r>
            <w:proofErr w:type="spellEnd"/>
            <w:r w:rsidRPr="008B37BC">
              <w:rPr>
                <w:rFonts w:ascii="Arial" w:hAnsi="Arial" w:cs="Arial"/>
                <w:sz w:val="22"/>
                <w:szCs w:val="22"/>
              </w:rPr>
              <w:t xml:space="preserve"> Inhibitor, welche entwickelt wurde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8B37BC">
              <w:rPr>
                <w:rFonts w:ascii="Arial" w:hAnsi="Arial" w:cs="Arial"/>
                <w:sz w:val="22"/>
                <w:szCs w:val="22"/>
              </w:rPr>
              <w:t xml:space="preserve"> um die Problematik der zunehmenden Resistenzbildung bei Infektionen mit Gram-negativen Bakterien zu adressieren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B37BC" w:rsidRDefault="008B37BC" w:rsidP="00363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733701" w:rsidRPr="00A832D2" w:rsidRDefault="00733701" w:rsidP="003632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ist ein bakterizid wirkendes Antibiotikum. Der Wirkmechanismus 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>beruht auf der Bindung des Moleküls an Penicil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>lin-Binde-Proteine (PBP). PBPs sind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 Bestandteile vieler Bakterien 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>und spielen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 eine wichtige Rolle bei den finalen Schritten der 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 xml:space="preserve">Synthese von </w:t>
            </w:r>
            <w:proofErr w:type="spellStart"/>
            <w:r w:rsidR="00A712B1" w:rsidRPr="00A832D2">
              <w:rPr>
                <w:rFonts w:ascii="Arial" w:hAnsi="Arial" w:cs="Arial"/>
                <w:sz w:val="22"/>
                <w:szCs w:val="22"/>
              </w:rPr>
              <w:t>Peptidoglycan</w:t>
            </w:r>
            <w:proofErr w:type="spellEnd"/>
            <w:r w:rsidR="00A712B1" w:rsidRPr="00A832D2">
              <w:rPr>
                <w:rFonts w:ascii="Arial" w:hAnsi="Arial" w:cs="Arial"/>
                <w:sz w:val="22"/>
                <w:szCs w:val="22"/>
              </w:rPr>
              <w:t>, dem Grund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>baustein bakterieller Zellwände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. Durch die Bindung von </w:t>
            </w:r>
            <w:proofErr w:type="spellStart"/>
            <w:r w:rsidR="00A712B1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PBPs wird die Vernetzung des </w:t>
            </w:r>
            <w:proofErr w:type="spellStart"/>
            <w:r w:rsidR="00A712B1" w:rsidRPr="00A832D2">
              <w:rPr>
                <w:rFonts w:ascii="Arial" w:hAnsi="Arial" w:cs="Arial"/>
                <w:sz w:val="22"/>
                <w:szCs w:val="22"/>
              </w:rPr>
              <w:t>Pepti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>d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>oglycans</w:t>
            </w:r>
            <w:proofErr w:type="spellEnd"/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 gehemmt, welches 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>eine Schwächung der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 bakteriellen Zellwand 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>zur Folge hat u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5730A3" w:rsidRPr="00A832D2">
              <w:rPr>
                <w:rFonts w:ascii="Arial" w:hAnsi="Arial" w:cs="Arial"/>
                <w:sz w:val="22"/>
                <w:szCs w:val="22"/>
              </w:rPr>
              <w:t xml:space="preserve">ultimativ 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>zu</w:t>
            </w:r>
            <w:r w:rsidR="00A832D2" w:rsidRPr="00A832D2">
              <w:rPr>
                <w:rFonts w:ascii="Arial" w:hAnsi="Arial" w:cs="Arial"/>
                <w:sz w:val="22"/>
                <w:szCs w:val="22"/>
              </w:rPr>
              <w:t xml:space="preserve">m Zelltod </w:t>
            </w:r>
            <w:r w:rsidR="00A712B1" w:rsidRPr="00A832D2">
              <w:rPr>
                <w:rFonts w:ascii="Arial" w:hAnsi="Arial" w:cs="Arial"/>
                <w:sz w:val="22"/>
                <w:szCs w:val="22"/>
              </w:rPr>
              <w:t>des Bakteriums führt.</w:t>
            </w:r>
          </w:p>
          <w:p w:rsidR="005730A3" w:rsidRPr="00A832D2" w:rsidRDefault="005730A3" w:rsidP="00363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5730A3" w:rsidRPr="00A832D2" w:rsidRDefault="008C05A3" w:rsidP="0036325A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Für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konnte eine bakterizide Wirkung sowohl in vitro als auch in vivo gegen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Enterobacter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cloacae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, Escherichia coli,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Klebsiella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oxytoca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Klebsiella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pneumoniae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, Proteus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mirabilis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Pseudomonas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aeruginosa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Streptococcus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anginosus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Streptococcus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const</w:t>
            </w:r>
            <w:r w:rsidR="009617A1" w:rsidRPr="00A832D2">
              <w:rPr>
                <w:rFonts w:ascii="Arial" w:hAnsi="Arial" w:cs="Arial"/>
                <w:i/>
                <w:sz w:val="22"/>
                <w:szCs w:val="22"/>
              </w:rPr>
              <w:t>ellatus</w:t>
            </w:r>
            <w:proofErr w:type="spellEnd"/>
            <w:r w:rsidR="009617A1"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617A1" w:rsidRPr="00A832D2">
              <w:rPr>
                <w:rFonts w:ascii="Arial" w:hAnsi="Arial" w:cs="Arial"/>
                <w:sz w:val="22"/>
                <w:szCs w:val="22"/>
              </w:rPr>
              <w:t>und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Streptococcus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A832D2">
              <w:rPr>
                <w:rFonts w:ascii="Arial" w:hAnsi="Arial" w:cs="Arial"/>
                <w:i/>
                <w:sz w:val="22"/>
                <w:szCs w:val="22"/>
              </w:rPr>
              <w:t>salivarius</w:t>
            </w:r>
            <w:proofErr w:type="spellEnd"/>
            <w:r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B545F" w:rsidRPr="00A832D2">
              <w:rPr>
                <w:rFonts w:ascii="Arial" w:hAnsi="Arial" w:cs="Arial"/>
                <w:sz w:val="22"/>
                <w:szCs w:val="22"/>
              </w:rPr>
              <w:t>gezeigt werden (</w:t>
            </w:r>
            <w:r w:rsidR="009617A1" w:rsidRPr="00A832D2">
              <w:rPr>
                <w:rFonts w:ascii="Arial" w:hAnsi="Arial" w:cs="Arial"/>
                <w:sz w:val="22"/>
                <w:szCs w:val="22"/>
              </w:rPr>
              <w:t>Fachinformation</w:t>
            </w:r>
            <w:r w:rsidR="00F50211" w:rsidRPr="00A832D2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E2D0C" w:rsidRPr="00A832D2" w:rsidRDefault="000E2D0C" w:rsidP="00363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6060DA" w:rsidRPr="006060DA" w:rsidRDefault="000A0C60" w:rsidP="006060DA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Zur Behandlung von </w:t>
            </w:r>
            <w:r w:rsidR="000E2D0C" w:rsidRPr="00A832D2">
              <w:rPr>
                <w:rFonts w:ascii="Arial" w:hAnsi="Arial" w:cs="Arial"/>
                <w:sz w:val="22"/>
                <w:szCs w:val="22"/>
              </w:rPr>
              <w:t>komplizierte</w:t>
            </w:r>
            <w:r w:rsidRPr="00A832D2">
              <w:rPr>
                <w:rFonts w:ascii="Arial" w:hAnsi="Arial" w:cs="Arial"/>
                <w:sz w:val="22"/>
                <w:szCs w:val="22"/>
              </w:rPr>
              <w:t>n</w:t>
            </w:r>
            <w:r w:rsidR="000E2D0C" w:rsidRPr="00A832D2">
              <w:rPr>
                <w:rFonts w:ascii="Arial" w:hAnsi="Arial" w:cs="Arial"/>
                <w:bCs/>
                <w:sz w:val="22"/>
                <w:szCs w:val="22"/>
              </w:rPr>
              <w:t xml:space="preserve"> intra</w:t>
            </w:r>
            <w:r w:rsidRPr="00A832D2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0E2D0C" w:rsidRPr="00A832D2">
              <w:rPr>
                <w:rFonts w:ascii="Arial" w:hAnsi="Arial" w:cs="Arial"/>
                <w:bCs/>
                <w:sz w:val="22"/>
                <w:szCs w:val="22"/>
              </w:rPr>
              <w:t>abdominelle</w:t>
            </w:r>
            <w:r w:rsidRPr="00A832D2">
              <w:rPr>
                <w:rFonts w:ascii="Arial" w:hAnsi="Arial" w:cs="Arial"/>
                <w:bCs/>
                <w:sz w:val="22"/>
                <w:szCs w:val="22"/>
              </w:rPr>
              <w:t>n Infektionen</w:t>
            </w:r>
            <w:r w:rsidR="000E2D0C" w:rsidRPr="00A832D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A832D2" w:rsidRPr="00A832D2">
              <w:rPr>
                <w:rFonts w:ascii="Arial" w:hAnsi="Arial" w:cs="Arial"/>
                <w:bCs/>
                <w:sz w:val="22"/>
                <w:szCs w:val="22"/>
              </w:rPr>
              <w:t>complicated</w:t>
            </w:r>
            <w:proofErr w:type="spellEnd"/>
            <w:r w:rsidR="00A832D2" w:rsidRPr="00A832D2">
              <w:rPr>
                <w:rFonts w:ascii="Arial" w:hAnsi="Arial" w:cs="Arial"/>
                <w:bCs/>
                <w:sz w:val="22"/>
                <w:szCs w:val="22"/>
              </w:rPr>
              <w:t xml:space="preserve"> intra-abdominal </w:t>
            </w:r>
            <w:proofErr w:type="spellStart"/>
            <w:r w:rsidR="00A832D2" w:rsidRPr="00A832D2">
              <w:rPr>
                <w:rFonts w:ascii="Arial" w:hAnsi="Arial" w:cs="Arial"/>
                <w:bCs/>
                <w:sz w:val="22"/>
                <w:szCs w:val="22"/>
              </w:rPr>
              <w:t>infection</w:t>
            </w:r>
            <w:proofErr w:type="spellEnd"/>
            <w:r w:rsidR="00A832D2" w:rsidRPr="00A832D2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proofErr w:type="spellStart"/>
            <w:r w:rsidR="000E2D0C" w:rsidRPr="00A832D2">
              <w:rPr>
                <w:rFonts w:ascii="Arial" w:hAnsi="Arial" w:cs="Arial"/>
                <w:bCs/>
                <w:sz w:val="22"/>
                <w:szCs w:val="22"/>
              </w:rPr>
              <w:t>cIAI</w:t>
            </w:r>
            <w:proofErr w:type="spellEnd"/>
            <w:r w:rsidR="000E2D0C" w:rsidRPr="00A832D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A832D2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C65A4" w:rsidRPr="00A832D2">
              <w:rPr>
                <w:rFonts w:ascii="Arial" w:hAnsi="Arial" w:cs="Arial"/>
                <w:bCs/>
                <w:sz w:val="22"/>
                <w:szCs w:val="22"/>
              </w:rPr>
              <w:t xml:space="preserve">der </w:t>
            </w:r>
            <w:r w:rsidR="005443BD" w:rsidRPr="00A832D2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0E2D0C" w:rsidRPr="00A832D2">
              <w:rPr>
                <w:rFonts w:ascii="Arial" w:hAnsi="Arial" w:cs="Arial"/>
                <w:sz w:val="22"/>
                <w:szCs w:val="22"/>
              </w:rPr>
              <w:t>kute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Pyelonephritis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und </w:t>
            </w:r>
            <w:r w:rsidR="000E2D0C" w:rsidRPr="00A832D2">
              <w:rPr>
                <w:rFonts w:ascii="Arial" w:hAnsi="Arial" w:cs="Arial"/>
                <w:sz w:val="22"/>
                <w:szCs w:val="22"/>
              </w:rPr>
              <w:t>komplizierte</w:t>
            </w:r>
            <w:r w:rsidRPr="00A832D2">
              <w:rPr>
                <w:rFonts w:ascii="Arial" w:hAnsi="Arial" w:cs="Arial"/>
                <w:sz w:val="22"/>
                <w:szCs w:val="22"/>
              </w:rPr>
              <w:t>n</w:t>
            </w:r>
            <w:r w:rsidR="000E2D0C" w:rsidRPr="00A832D2">
              <w:rPr>
                <w:rFonts w:ascii="Arial" w:hAnsi="Arial" w:cs="Arial"/>
                <w:sz w:val="22"/>
                <w:szCs w:val="22"/>
              </w:rPr>
              <w:t xml:space="preserve"> Harnwegsinfektionen (</w:t>
            </w:r>
            <w:proofErr w:type="spellStart"/>
            <w:r w:rsidR="00A832D2" w:rsidRPr="00A832D2">
              <w:rPr>
                <w:rFonts w:ascii="Arial" w:hAnsi="Arial" w:cs="Arial"/>
                <w:sz w:val="22"/>
                <w:szCs w:val="22"/>
              </w:rPr>
              <w:t>complicated</w:t>
            </w:r>
            <w:proofErr w:type="spellEnd"/>
            <w:r w:rsidR="00A832D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32D2" w:rsidRPr="00A832D2">
              <w:rPr>
                <w:rFonts w:ascii="Arial" w:hAnsi="Arial" w:cs="Arial"/>
                <w:sz w:val="22"/>
                <w:szCs w:val="22"/>
              </w:rPr>
              <w:t>urinary</w:t>
            </w:r>
            <w:proofErr w:type="spellEnd"/>
            <w:r w:rsidR="00A832D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32D2" w:rsidRPr="00A832D2">
              <w:rPr>
                <w:rFonts w:ascii="Arial" w:hAnsi="Arial" w:cs="Arial"/>
                <w:sz w:val="22"/>
                <w:szCs w:val="22"/>
              </w:rPr>
              <w:t>tract</w:t>
            </w:r>
            <w:proofErr w:type="spellEnd"/>
            <w:r w:rsidR="00A832D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832D2" w:rsidRPr="00A832D2">
              <w:rPr>
                <w:rFonts w:ascii="Arial" w:hAnsi="Arial" w:cs="Arial"/>
                <w:sz w:val="22"/>
                <w:szCs w:val="22"/>
              </w:rPr>
              <w:t>infection</w:t>
            </w:r>
            <w:proofErr w:type="spellEnd"/>
            <w:r w:rsidR="00A832D2" w:rsidRPr="00A832D2">
              <w:rPr>
                <w:rFonts w:ascii="Arial" w:hAnsi="Arial" w:cs="Arial"/>
                <w:sz w:val="22"/>
                <w:szCs w:val="22"/>
              </w:rPr>
              <w:t xml:space="preserve">; </w:t>
            </w:r>
            <w:proofErr w:type="spellStart"/>
            <w:r w:rsidR="000E2D0C"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0E2D0C" w:rsidRPr="00A832D2">
              <w:rPr>
                <w:rFonts w:ascii="Arial" w:hAnsi="Arial" w:cs="Arial"/>
                <w:sz w:val="22"/>
                <w:szCs w:val="22"/>
              </w:rPr>
              <w:t>)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wird </w:t>
            </w:r>
            <w:r w:rsidR="006B545F" w:rsidRPr="00A832D2">
              <w:rPr>
                <w:rFonts w:ascii="Arial" w:hAnsi="Arial" w:cs="Arial"/>
                <w:sz w:val="22"/>
                <w:szCs w:val="22"/>
              </w:rPr>
              <w:t xml:space="preserve">1.5g </w:t>
            </w:r>
            <w:proofErr w:type="spellStart"/>
            <w:r w:rsidR="006B545F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6B545F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B545F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6B545F" w:rsidRPr="00A832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1g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und 0.5g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6B545F" w:rsidRPr="00A832D2">
              <w:rPr>
                <w:rFonts w:ascii="Arial" w:hAnsi="Arial" w:cs="Arial"/>
                <w:sz w:val="22"/>
                <w:szCs w:val="22"/>
              </w:rPr>
              <w:t>)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alle 8 Stunden in einer einstündigen Infusion verabreicht. Die Behandlungsdauer der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beträgt 4</w:t>
            </w:r>
            <w:r w:rsidR="007064BC" w:rsidRPr="00A832D2">
              <w:rPr>
                <w:rFonts w:ascii="Arial" w:hAnsi="Arial" w:cs="Arial"/>
                <w:sz w:val="22"/>
                <w:szCs w:val="22"/>
              </w:rPr>
              <w:t xml:space="preserve"> – 14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Tage, die Behandlungsdauer der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2D2" w:rsidRPr="00A832D2">
              <w:rPr>
                <w:rFonts w:ascii="Arial" w:hAnsi="Arial" w:cs="Arial"/>
                <w:sz w:val="22"/>
                <w:szCs w:val="22"/>
              </w:rPr>
              <w:t>und der ak</w:t>
            </w:r>
            <w:r w:rsidR="00A51727">
              <w:rPr>
                <w:rFonts w:ascii="Arial" w:hAnsi="Arial" w:cs="Arial"/>
                <w:sz w:val="22"/>
                <w:szCs w:val="22"/>
              </w:rPr>
              <w:t>u</w:t>
            </w:r>
            <w:r w:rsidR="00A832D2" w:rsidRPr="00A832D2">
              <w:rPr>
                <w:rFonts w:ascii="Arial" w:hAnsi="Arial" w:cs="Arial"/>
                <w:sz w:val="22"/>
                <w:szCs w:val="22"/>
              </w:rPr>
              <w:t xml:space="preserve">ten </w:t>
            </w:r>
            <w:proofErr w:type="spellStart"/>
            <w:r w:rsidR="00A832D2" w:rsidRPr="00A832D2">
              <w:rPr>
                <w:rFonts w:ascii="Arial" w:hAnsi="Arial" w:cs="Arial"/>
                <w:sz w:val="22"/>
                <w:szCs w:val="22"/>
              </w:rPr>
              <w:t>Pyelonephritis</w:t>
            </w:r>
            <w:proofErr w:type="spellEnd"/>
            <w:r w:rsidR="00A832D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>beträgt 7 Tage.</w:t>
            </w:r>
            <w:r w:rsidR="00606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0DA" w:rsidRPr="006060DA">
              <w:rPr>
                <w:rFonts w:ascii="Arial" w:hAnsi="Arial" w:cs="Arial"/>
                <w:sz w:val="22"/>
                <w:szCs w:val="22"/>
              </w:rPr>
              <w:t xml:space="preserve">Bei Verdacht auf eine Beteiligung anaerober Krankheitserreger bei intra-abdominellen Infektionen sollte </w:t>
            </w:r>
            <w:proofErr w:type="spellStart"/>
            <w:r w:rsidR="006060DA" w:rsidRPr="006060DA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6060DA" w:rsidRPr="006060DA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060DA" w:rsidRPr="006060DA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6060DA" w:rsidRPr="006060DA">
              <w:rPr>
                <w:rFonts w:ascii="Arial" w:hAnsi="Arial" w:cs="Arial"/>
                <w:sz w:val="22"/>
                <w:szCs w:val="22"/>
              </w:rPr>
              <w:t xml:space="preserve"> in Kombination mit </w:t>
            </w:r>
            <w:proofErr w:type="spellStart"/>
            <w:r w:rsidR="006060DA" w:rsidRPr="006060DA">
              <w:rPr>
                <w:rFonts w:ascii="Arial" w:hAnsi="Arial" w:cs="Arial"/>
                <w:sz w:val="22"/>
                <w:szCs w:val="22"/>
              </w:rPr>
              <w:t>Metronidazol</w:t>
            </w:r>
            <w:proofErr w:type="spellEnd"/>
            <w:r w:rsidR="006060DA" w:rsidRPr="006060DA">
              <w:rPr>
                <w:rFonts w:ascii="Arial" w:hAnsi="Arial" w:cs="Arial"/>
                <w:sz w:val="22"/>
                <w:szCs w:val="22"/>
              </w:rPr>
              <w:t xml:space="preserve"> angewendet werden.</w:t>
            </w:r>
          </w:p>
          <w:p w:rsidR="000A0C60" w:rsidRPr="00A832D2" w:rsidRDefault="000A0C60" w:rsidP="000E2D0C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C60" w:rsidRPr="00A832D2" w:rsidRDefault="000A0C60" w:rsidP="000E2D0C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Die Wirksamkeit und Sicherheit der Therapie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6B545F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B545F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717" w:rsidRPr="00A832D2">
              <w:rPr>
                <w:rFonts w:ascii="Arial" w:hAnsi="Arial" w:cs="Arial"/>
                <w:sz w:val="22"/>
                <w:szCs w:val="22"/>
              </w:rPr>
              <w:t xml:space="preserve">in Kombination mit </w:t>
            </w:r>
            <w:proofErr w:type="spellStart"/>
            <w:r w:rsidR="00297717" w:rsidRPr="00A832D2">
              <w:rPr>
                <w:rFonts w:ascii="Arial" w:hAnsi="Arial" w:cs="Arial"/>
                <w:sz w:val="22"/>
                <w:szCs w:val="22"/>
              </w:rPr>
              <w:t>Metronidazol</w:t>
            </w:r>
            <w:proofErr w:type="spellEnd"/>
            <w:r w:rsidR="00297717" w:rsidRPr="00A832D2">
              <w:rPr>
                <w:rFonts w:ascii="Arial" w:hAnsi="Arial" w:cs="Arial"/>
                <w:sz w:val="22"/>
                <w:szCs w:val="22"/>
              </w:rPr>
              <w:t xml:space="preserve"> im Vergleich zur Therapie mit  </w:t>
            </w:r>
            <w:proofErr w:type="spellStart"/>
            <w:r w:rsidR="00297717"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="00297717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zur Behandlung der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wurde in </w:t>
            </w:r>
            <w:r w:rsidR="006060DA">
              <w:rPr>
                <w:rFonts w:ascii="Arial" w:hAnsi="Arial" w:cs="Arial"/>
                <w:sz w:val="22"/>
                <w:szCs w:val="22"/>
              </w:rPr>
              <w:t>zwei identischen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multizentrischen, </w:t>
            </w:r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randomisierten, </w:t>
            </w:r>
            <w:proofErr w:type="spellStart"/>
            <w:r w:rsidR="00FE619D" w:rsidRPr="00A832D2">
              <w:rPr>
                <w:rFonts w:ascii="Arial" w:hAnsi="Arial" w:cs="Arial"/>
                <w:sz w:val="22"/>
                <w:szCs w:val="22"/>
              </w:rPr>
              <w:t>plazebo</w:t>
            </w:r>
            <w:proofErr w:type="spellEnd"/>
            <w:r w:rsidR="00FE619D" w:rsidRPr="00A832D2">
              <w:rPr>
                <w:rFonts w:ascii="Arial" w:hAnsi="Arial" w:cs="Arial"/>
                <w:sz w:val="22"/>
                <w:szCs w:val="22"/>
              </w:rPr>
              <w:t>-kontrollierten, non-</w:t>
            </w:r>
            <w:proofErr w:type="spellStart"/>
            <w:r w:rsidR="00FE619D" w:rsidRPr="00A832D2">
              <w:rPr>
                <w:rFonts w:ascii="Arial" w:hAnsi="Arial" w:cs="Arial"/>
                <w:sz w:val="22"/>
                <w:szCs w:val="22"/>
              </w:rPr>
              <w:t>inferiority</w:t>
            </w:r>
            <w:proofErr w:type="spellEnd"/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>Phase 3 Studie untersucht</w:t>
            </w:r>
            <w:r w:rsidR="009617A1" w:rsidRPr="00A832D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617A1" w:rsidRPr="00A832D2">
              <w:rPr>
                <w:rFonts w:ascii="Arial" w:hAnsi="Arial" w:cs="Arial"/>
                <w:sz w:val="22"/>
                <w:szCs w:val="22"/>
              </w:rPr>
              <w:t>So</w:t>
            </w:r>
            <w:r w:rsidR="006060DA">
              <w:rPr>
                <w:rFonts w:ascii="Arial" w:hAnsi="Arial" w:cs="Arial"/>
                <w:sz w:val="22"/>
                <w:szCs w:val="22"/>
              </w:rPr>
              <w:t>lom</w:t>
            </w:r>
            <w:r w:rsidR="009617A1" w:rsidRPr="00A832D2">
              <w:rPr>
                <w:rFonts w:ascii="Arial" w:hAnsi="Arial" w:cs="Arial"/>
                <w:sz w:val="22"/>
                <w:szCs w:val="22"/>
              </w:rPr>
              <w:t>kin</w:t>
            </w:r>
            <w:proofErr w:type="spellEnd"/>
            <w:r w:rsidR="009617A1" w:rsidRPr="00A832D2">
              <w:rPr>
                <w:rFonts w:ascii="Arial" w:hAnsi="Arial" w:cs="Arial"/>
                <w:sz w:val="22"/>
                <w:szCs w:val="22"/>
              </w:rPr>
              <w:t xml:space="preserve"> et al</w:t>
            </w:r>
            <w:r w:rsidR="006060DA">
              <w:rPr>
                <w:rFonts w:ascii="Arial" w:hAnsi="Arial" w:cs="Arial"/>
                <w:sz w:val="22"/>
                <w:szCs w:val="22"/>
              </w:rPr>
              <w:t>, 2015</w:t>
            </w:r>
            <w:r w:rsidR="009617A1" w:rsidRPr="00A832D2">
              <w:rPr>
                <w:rFonts w:ascii="Arial" w:hAnsi="Arial" w:cs="Arial"/>
                <w:sz w:val="22"/>
                <w:szCs w:val="22"/>
              </w:rPr>
              <w:t>.)</w:t>
            </w:r>
            <w:r w:rsidR="006060DA">
              <w:rPr>
                <w:rFonts w:ascii="Arial" w:hAnsi="Arial" w:cs="Arial"/>
                <w:sz w:val="22"/>
                <w:szCs w:val="22"/>
              </w:rPr>
              <w:t>. In den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ASPECT-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Studie</w:t>
            </w:r>
            <w:r w:rsidR="006060DA">
              <w:rPr>
                <w:rFonts w:ascii="Arial" w:hAnsi="Arial" w:cs="Arial"/>
                <w:sz w:val="22"/>
                <w:szCs w:val="22"/>
              </w:rPr>
              <w:t>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wurden </w:t>
            </w:r>
            <w:r w:rsidR="006060DA">
              <w:rPr>
                <w:rFonts w:ascii="Arial" w:hAnsi="Arial" w:cs="Arial"/>
                <w:sz w:val="22"/>
                <w:szCs w:val="22"/>
              </w:rPr>
              <w:t xml:space="preserve">insgesamt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993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Patienten eingeschlossen.</w:t>
            </w:r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 Die Studie</w:t>
            </w:r>
            <w:r w:rsidR="006060DA">
              <w:rPr>
                <w:rFonts w:ascii="Arial" w:hAnsi="Arial" w:cs="Arial"/>
                <w:sz w:val="22"/>
                <w:szCs w:val="22"/>
              </w:rPr>
              <w:t>n zeigen</w:t>
            </w:r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, dass </w:t>
            </w:r>
            <w:proofErr w:type="spellStart"/>
            <w:r w:rsidR="00FE619D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FE619D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E619D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 in Kombination mit </w:t>
            </w:r>
            <w:proofErr w:type="spellStart"/>
            <w:r w:rsidR="00FE619D" w:rsidRPr="00A832D2">
              <w:rPr>
                <w:rFonts w:ascii="Arial" w:hAnsi="Arial" w:cs="Arial"/>
                <w:sz w:val="22"/>
                <w:szCs w:val="22"/>
              </w:rPr>
              <w:t>Metronidazol</w:t>
            </w:r>
            <w:proofErr w:type="spellEnd"/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 zur Behandlung der </w:t>
            </w:r>
            <w:proofErr w:type="spellStart"/>
            <w:r w:rsidR="00FE619D"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 einer Therapie mit </w:t>
            </w:r>
            <w:proofErr w:type="spellStart"/>
            <w:r w:rsidR="00FE619D"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="00FE619D" w:rsidRPr="00A832D2">
              <w:rPr>
                <w:rFonts w:ascii="Arial" w:hAnsi="Arial" w:cs="Arial"/>
                <w:sz w:val="22"/>
                <w:szCs w:val="22"/>
              </w:rPr>
              <w:t xml:space="preserve"> nicht unterlegen war.</w:t>
            </w:r>
          </w:p>
          <w:p w:rsidR="000E2D0C" w:rsidRPr="00A832D2" w:rsidRDefault="000E2D0C" w:rsidP="0036325A">
            <w:pPr>
              <w:rPr>
                <w:rFonts w:ascii="Arial" w:hAnsi="Arial" w:cs="Arial"/>
                <w:sz w:val="22"/>
                <w:szCs w:val="22"/>
              </w:rPr>
            </w:pPr>
          </w:p>
          <w:p w:rsidR="00FE619D" w:rsidRPr="00A832D2" w:rsidRDefault="00FE619D" w:rsidP="00FE619D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Die Wirksamkeit und Sicherheit der Therapie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6B545F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B545F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717" w:rsidRPr="00A832D2">
              <w:rPr>
                <w:rFonts w:ascii="Arial" w:hAnsi="Arial" w:cs="Arial"/>
                <w:sz w:val="22"/>
                <w:szCs w:val="22"/>
              </w:rPr>
              <w:t xml:space="preserve"> im Vergleich zur Therapie mit </w:t>
            </w:r>
            <w:proofErr w:type="spellStart"/>
            <w:r w:rsidR="00297717" w:rsidRPr="00A832D2">
              <w:rPr>
                <w:rFonts w:ascii="Arial" w:hAnsi="Arial" w:cs="Arial"/>
                <w:sz w:val="22"/>
                <w:szCs w:val="22"/>
              </w:rPr>
              <w:t>Levofloxacin</w:t>
            </w:r>
            <w:proofErr w:type="spellEnd"/>
            <w:r w:rsidR="00297717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zur Behandlung der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wurde in </w:t>
            </w:r>
            <w:r w:rsidR="006060DA">
              <w:rPr>
                <w:rFonts w:ascii="Arial" w:hAnsi="Arial" w:cs="Arial"/>
                <w:sz w:val="22"/>
                <w:szCs w:val="22"/>
              </w:rPr>
              <w:t>zwei identischen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multizentrischen, randomisierten,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plazebo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-kontrollierten, non-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inferiority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Phase 3 Studie</w:t>
            </w:r>
            <w:r w:rsidR="006060DA">
              <w:rPr>
                <w:rFonts w:ascii="Arial" w:hAnsi="Arial" w:cs="Arial"/>
                <w:sz w:val="22"/>
                <w:szCs w:val="22"/>
              </w:rPr>
              <w:t>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lastRenderedPageBreak/>
              <w:t>untersucht</w:t>
            </w:r>
            <w:r w:rsidR="009617A1" w:rsidRPr="00A832D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9617A1" w:rsidRPr="00A832D2">
              <w:rPr>
                <w:rFonts w:ascii="Arial" w:hAnsi="Arial" w:cs="Arial"/>
                <w:sz w:val="22"/>
                <w:szCs w:val="22"/>
              </w:rPr>
              <w:t>Wagenlehner</w:t>
            </w:r>
            <w:proofErr w:type="spellEnd"/>
            <w:r w:rsidR="009617A1" w:rsidRPr="00A832D2">
              <w:rPr>
                <w:rFonts w:ascii="Arial" w:hAnsi="Arial" w:cs="Arial"/>
                <w:sz w:val="22"/>
                <w:szCs w:val="22"/>
              </w:rPr>
              <w:t xml:space="preserve"> et al.</w:t>
            </w:r>
            <w:r w:rsidR="006060DA">
              <w:rPr>
                <w:rFonts w:ascii="Arial" w:hAnsi="Arial" w:cs="Arial"/>
                <w:sz w:val="22"/>
                <w:szCs w:val="22"/>
              </w:rPr>
              <w:t>, 2015</w:t>
            </w:r>
            <w:r w:rsidR="009617A1" w:rsidRPr="00A832D2">
              <w:rPr>
                <w:rFonts w:ascii="Arial" w:hAnsi="Arial" w:cs="Arial"/>
                <w:sz w:val="22"/>
                <w:szCs w:val="22"/>
              </w:rPr>
              <w:t>)</w:t>
            </w:r>
            <w:r w:rsidR="006060DA">
              <w:rPr>
                <w:rFonts w:ascii="Arial" w:hAnsi="Arial" w:cs="Arial"/>
                <w:sz w:val="22"/>
                <w:szCs w:val="22"/>
              </w:rPr>
              <w:t>. In den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ASPECT-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Studie</w:t>
            </w:r>
            <w:r w:rsidR="006060DA">
              <w:rPr>
                <w:rFonts w:ascii="Arial" w:hAnsi="Arial" w:cs="Arial"/>
                <w:sz w:val="22"/>
                <w:szCs w:val="22"/>
              </w:rPr>
              <w:t>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wurden</w:t>
            </w:r>
            <w:r w:rsidR="006060DA">
              <w:rPr>
                <w:rFonts w:ascii="Arial" w:hAnsi="Arial" w:cs="Arial"/>
                <w:sz w:val="22"/>
                <w:szCs w:val="22"/>
              </w:rPr>
              <w:t xml:space="preserve"> insgesamt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1083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Patienten eingeschlossen. Die Studie zeig</w:t>
            </w:r>
            <w:r w:rsidR="006060DA">
              <w:rPr>
                <w:rFonts w:ascii="Arial" w:hAnsi="Arial" w:cs="Arial"/>
                <w:sz w:val="22"/>
                <w:szCs w:val="22"/>
              </w:rPr>
              <w:t>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, dass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zur Behandlung der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 einer Therapie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Levofloxacin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7717" w:rsidRPr="00A832D2">
              <w:rPr>
                <w:rFonts w:ascii="Arial" w:hAnsi="Arial" w:cs="Arial"/>
                <w:sz w:val="22"/>
                <w:szCs w:val="22"/>
              </w:rPr>
              <w:t>überlegen war.</w:t>
            </w:r>
          </w:p>
          <w:p w:rsidR="008E6675" w:rsidRPr="00A832D2" w:rsidRDefault="008E6675" w:rsidP="00BD5C42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617A1" w:rsidRPr="006060DA" w:rsidRDefault="009617A1" w:rsidP="009617A1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:rsidR="009617A1" w:rsidRPr="00A832D2" w:rsidRDefault="009617A1" w:rsidP="009617A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32D2">
              <w:rPr>
                <w:rFonts w:ascii="Arial" w:hAnsi="Arial" w:cs="Arial"/>
                <w:sz w:val="22"/>
                <w:szCs w:val="22"/>
                <w:u w:val="single"/>
              </w:rPr>
              <w:t>Referenzen:</w:t>
            </w:r>
          </w:p>
          <w:p w:rsidR="00690428" w:rsidRPr="002F27AD" w:rsidRDefault="006060DA" w:rsidP="0069042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27AD">
              <w:rPr>
                <w:rFonts w:ascii="Arial" w:hAnsi="Arial" w:cs="Arial"/>
                <w:sz w:val="22"/>
                <w:szCs w:val="22"/>
              </w:rPr>
              <w:t>Sol</w:t>
            </w:r>
            <w:r w:rsidR="00690428" w:rsidRPr="002F27AD">
              <w:rPr>
                <w:rFonts w:ascii="Arial" w:hAnsi="Arial" w:cs="Arial"/>
                <w:sz w:val="22"/>
                <w:szCs w:val="22"/>
              </w:rPr>
              <w:t>o</w:t>
            </w:r>
            <w:r w:rsidRPr="002F27AD">
              <w:rPr>
                <w:rFonts w:ascii="Arial" w:hAnsi="Arial" w:cs="Arial"/>
                <w:sz w:val="22"/>
                <w:szCs w:val="22"/>
              </w:rPr>
              <w:t>m</w:t>
            </w:r>
            <w:r w:rsidR="00690428" w:rsidRPr="002F27AD">
              <w:rPr>
                <w:rFonts w:ascii="Arial" w:hAnsi="Arial" w:cs="Arial"/>
                <w:sz w:val="22"/>
                <w:szCs w:val="22"/>
              </w:rPr>
              <w:t>kin</w:t>
            </w:r>
            <w:proofErr w:type="spellEnd"/>
            <w:r w:rsidR="00690428" w:rsidRPr="002F27AD">
              <w:rPr>
                <w:rFonts w:ascii="Arial" w:hAnsi="Arial" w:cs="Arial"/>
                <w:sz w:val="22"/>
                <w:szCs w:val="22"/>
              </w:rPr>
              <w:t xml:space="preserve"> et al. CID. 2015; 60: 1462</w:t>
            </w:r>
          </w:p>
          <w:p w:rsidR="009617A1" w:rsidRPr="00312387" w:rsidRDefault="009617A1" w:rsidP="009617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312387">
              <w:rPr>
                <w:rFonts w:ascii="Arial" w:hAnsi="Arial" w:cs="Arial"/>
                <w:sz w:val="22"/>
                <w:szCs w:val="22"/>
                <w:lang w:val="en-GB"/>
              </w:rPr>
              <w:t>Wagenlehner</w:t>
            </w:r>
            <w:proofErr w:type="spellEnd"/>
            <w:r w:rsidRPr="00312387">
              <w:rPr>
                <w:rFonts w:ascii="Arial" w:hAnsi="Arial" w:cs="Arial"/>
                <w:sz w:val="22"/>
                <w:szCs w:val="22"/>
                <w:lang w:val="en-GB"/>
              </w:rPr>
              <w:t xml:space="preserve"> et al. Lancet. 2015; 385: 1949</w:t>
            </w:r>
          </w:p>
          <w:p w:rsidR="009617A1" w:rsidRPr="006C1A3D" w:rsidRDefault="009617A1" w:rsidP="0069042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8E6675" w:rsidRPr="008B37BC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1.4 Mit welchem OPS wird die Methode verschlüsselt?</w:t>
            </w:r>
          </w:p>
        </w:tc>
      </w:tr>
      <w:tr w:rsidR="008E6675" w:rsidRPr="00A832D2">
        <w:tc>
          <w:tcPr>
            <w:tcW w:w="9212" w:type="dxa"/>
          </w:tcPr>
          <w:p w:rsidR="0036325A" w:rsidRPr="00A832D2" w:rsidRDefault="003632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675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80"/>
        <w:gridCol w:w="567"/>
      </w:tblGrid>
      <w:tr w:rsidR="00D15F63" w:rsidRPr="00D15F63" w:rsidTr="00312387">
        <w:tc>
          <w:tcPr>
            <w:tcW w:w="8680" w:type="dxa"/>
          </w:tcPr>
          <w:p w:rsidR="00D15F63" w:rsidRPr="00312387" w:rsidRDefault="00D15F63">
            <w:pPr>
              <w:rPr>
                <w:rFonts w:ascii="Arial" w:hAnsi="Arial" w:cs="Arial"/>
                <w:sz w:val="22"/>
                <w:szCs w:val="22"/>
              </w:rPr>
            </w:pPr>
            <w:r w:rsidRPr="00312387">
              <w:rPr>
                <w:rFonts w:ascii="Arial" w:hAnsi="Arial" w:cs="Arial"/>
                <w:sz w:val="22"/>
                <w:szCs w:val="22"/>
              </w:rPr>
              <w:t xml:space="preserve">Derzeit sind keine </w:t>
            </w:r>
            <w:proofErr w:type="spellStart"/>
            <w:r w:rsidRPr="00312387">
              <w:rPr>
                <w:rFonts w:ascii="Arial" w:hAnsi="Arial" w:cs="Arial"/>
                <w:sz w:val="22"/>
                <w:szCs w:val="22"/>
              </w:rPr>
              <w:t>Prozedurencodes</w:t>
            </w:r>
            <w:proofErr w:type="spellEnd"/>
            <w:r w:rsidRPr="00312387">
              <w:rPr>
                <w:rFonts w:ascii="Arial" w:hAnsi="Arial" w:cs="Arial"/>
                <w:sz w:val="22"/>
                <w:szCs w:val="22"/>
              </w:rPr>
              <w:t xml:space="preserve"> (OPS) verfügbar</w:t>
            </w:r>
          </w:p>
        </w:tc>
        <w:tc>
          <w:tcPr>
            <w:tcW w:w="567" w:type="dxa"/>
          </w:tcPr>
          <w:p w:rsidR="00D15F63" w:rsidRPr="00312387" w:rsidRDefault="00D15F63" w:rsidP="003123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2387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D15F63" w:rsidRDefault="00D15F63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D15F63" w:rsidRPr="00A832D2" w:rsidTr="008F0E11">
        <w:tc>
          <w:tcPr>
            <w:tcW w:w="9212" w:type="dxa"/>
          </w:tcPr>
          <w:p w:rsidR="00D15F63" w:rsidRPr="00A832D2" w:rsidRDefault="00D15F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Anmerkungen zu den Prozeduren</w:t>
            </w:r>
          </w:p>
        </w:tc>
      </w:tr>
      <w:tr w:rsidR="00D15F63" w:rsidRPr="00A832D2" w:rsidTr="008F0E11">
        <w:tc>
          <w:tcPr>
            <w:tcW w:w="9212" w:type="dxa"/>
          </w:tcPr>
          <w:p w:rsidR="00D15F63" w:rsidRPr="00A832D2" w:rsidRDefault="00D15F63" w:rsidP="008F0E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Derzeit existiert kein spezifischer OPS-Kode.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Eine OPS-Ziffer für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wurde für das Jahr 2016 beantragt.</w:t>
            </w:r>
          </w:p>
        </w:tc>
      </w:tr>
    </w:tbl>
    <w:p w:rsidR="00D15F63" w:rsidRDefault="00D15F63" w:rsidP="005638EB">
      <w:pPr>
        <w:rPr>
          <w:rFonts w:ascii="Arial" w:hAnsi="Arial" w:cs="Arial"/>
          <w:sz w:val="22"/>
          <w:szCs w:val="22"/>
        </w:rPr>
      </w:pPr>
    </w:p>
    <w:p w:rsidR="00D15F63" w:rsidRDefault="00D15F63" w:rsidP="005638EB">
      <w:pPr>
        <w:rPr>
          <w:rFonts w:ascii="Arial" w:hAnsi="Arial" w:cs="Arial"/>
          <w:sz w:val="22"/>
          <w:szCs w:val="22"/>
        </w:rPr>
      </w:pPr>
    </w:p>
    <w:p w:rsidR="00D15F63" w:rsidRPr="00A832D2" w:rsidRDefault="00D15F63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2.1 Bei welchen Patienten wird die Methode angewandt (Indikation)?</w:t>
            </w:r>
          </w:p>
        </w:tc>
      </w:tr>
      <w:tr w:rsidR="008E6675" w:rsidRPr="00A832D2">
        <w:tc>
          <w:tcPr>
            <w:tcW w:w="9212" w:type="dxa"/>
          </w:tcPr>
          <w:p w:rsidR="007C7E57" w:rsidRPr="00A832D2" w:rsidRDefault="007C7E57" w:rsidP="007C7E57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bCs/>
                <w:sz w:val="22"/>
                <w:szCs w:val="22"/>
              </w:rPr>
              <w:t>Zerbaxa ist angezeigt zur Behandlung der folgenden Infektionen bei E</w:t>
            </w:r>
            <w:r w:rsidR="00125E2C" w:rsidRPr="00A832D2">
              <w:rPr>
                <w:rFonts w:ascii="Arial" w:hAnsi="Arial" w:cs="Arial"/>
                <w:bCs/>
                <w:sz w:val="22"/>
                <w:szCs w:val="22"/>
              </w:rPr>
              <w:t>rwachsenen</w:t>
            </w:r>
            <w:r w:rsidRPr="00A832D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7C7E57" w:rsidRPr="00A832D2" w:rsidRDefault="007C7E57" w:rsidP="007C7E57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7C7E57" w:rsidRPr="00A832D2" w:rsidRDefault="007C7E57" w:rsidP="007C7E57">
            <w:pPr>
              <w:numPr>
                <w:ilvl w:val="0"/>
                <w:numId w:val="13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bCs/>
                <w:sz w:val="22"/>
                <w:szCs w:val="22"/>
              </w:rPr>
              <w:t xml:space="preserve">Komplizierte </w:t>
            </w:r>
            <w:proofErr w:type="spellStart"/>
            <w:r w:rsidRPr="00A832D2">
              <w:rPr>
                <w:rFonts w:ascii="Arial" w:hAnsi="Arial" w:cs="Arial"/>
                <w:bCs/>
                <w:sz w:val="22"/>
                <w:szCs w:val="22"/>
              </w:rPr>
              <w:t>intraabdominelle</w:t>
            </w:r>
            <w:proofErr w:type="spellEnd"/>
            <w:r w:rsidRPr="00A832D2">
              <w:rPr>
                <w:rFonts w:ascii="Arial" w:hAnsi="Arial" w:cs="Arial"/>
                <w:bCs/>
                <w:sz w:val="22"/>
                <w:szCs w:val="22"/>
              </w:rPr>
              <w:t xml:space="preserve"> Infektionen</w:t>
            </w:r>
            <w:r w:rsidR="007443A0" w:rsidRPr="00A832D2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="007443A0" w:rsidRPr="00A832D2">
              <w:rPr>
                <w:rFonts w:ascii="Arial" w:hAnsi="Arial" w:cs="Arial"/>
                <w:bCs/>
                <w:sz w:val="22"/>
                <w:szCs w:val="22"/>
              </w:rPr>
              <w:t>cIAI</w:t>
            </w:r>
            <w:proofErr w:type="spellEnd"/>
            <w:r w:rsidR="007443A0" w:rsidRPr="00A832D2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A832D2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7C7E57" w:rsidRPr="00A832D2" w:rsidRDefault="007C7E57" w:rsidP="007C7E57">
            <w:pPr>
              <w:numPr>
                <w:ilvl w:val="0"/>
                <w:numId w:val="13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Akute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Pyelonephritis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C7E57" w:rsidRPr="00A832D2" w:rsidRDefault="007C7E57" w:rsidP="007C7E57">
            <w:pPr>
              <w:numPr>
                <w:ilvl w:val="0"/>
                <w:numId w:val="13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Komplizierte Harnwegsinfektionen</w:t>
            </w:r>
            <w:r w:rsidR="007443A0" w:rsidRPr="00A832D2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7443A0"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7443A0" w:rsidRPr="00A832D2">
              <w:rPr>
                <w:rFonts w:ascii="Arial" w:hAnsi="Arial" w:cs="Arial"/>
                <w:sz w:val="22"/>
                <w:szCs w:val="22"/>
              </w:rPr>
              <w:t>)</w:t>
            </w:r>
            <w:r w:rsidRPr="00A832D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C7E57" w:rsidRPr="00A832D2" w:rsidRDefault="007C7E57" w:rsidP="007C7E57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Die offiziellen Leitlinien für den angemessenen Gebrauch von Antibiotika sind zu beachten.</w:t>
            </w:r>
          </w:p>
          <w:p w:rsidR="007443A0" w:rsidRPr="00A832D2" w:rsidRDefault="007443A0" w:rsidP="007C7E57">
            <w:pPr>
              <w:rPr>
                <w:rFonts w:ascii="Arial" w:hAnsi="Arial" w:cs="Arial"/>
                <w:sz w:val="22"/>
                <w:szCs w:val="22"/>
              </w:rPr>
            </w:pPr>
          </w:p>
          <w:p w:rsidR="007443A0" w:rsidRPr="00A832D2" w:rsidRDefault="007443A0" w:rsidP="007C7E57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Dies entspricht Patienten mit den folgenden ICD-10-Codes:</w:t>
            </w:r>
          </w:p>
          <w:p w:rsidR="007443A0" w:rsidRPr="00A832D2" w:rsidRDefault="007443A0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K65.0 (Akute Peritonitis)</w:t>
            </w:r>
          </w:p>
          <w:p w:rsidR="007443A0" w:rsidRPr="00A832D2" w:rsidRDefault="007443A0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K35.2 (Akute Appendizitis mit generalisierter Peritonitis)</w:t>
            </w:r>
          </w:p>
          <w:p w:rsidR="007443A0" w:rsidRPr="00A832D2" w:rsidRDefault="007443A0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K35.3 (Akute Appendizitis mit lokalisierter Peritonitis)</w:t>
            </w:r>
          </w:p>
          <w:p w:rsidR="007443A0" w:rsidRPr="00A832D2" w:rsidRDefault="007443A0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K81.0 (Akute Cholezystitis)</w:t>
            </w:r>
          </w:p>
          <w:p w:rsidR="007443A0" w:rsidRPr="00A832D2" w:rsidRDefault="007443A0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K57.0 (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Divertikulose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des Dünndarmes mit Pe</w:t>
            </w:r>
            <w:r w:rsidR="007B4A71" w:rsidRPr="00A832D2">
              <w:rPr>
                <w:rFonts w:ascii="Arial" w:hAnsi="Arial" w:cs="Arial"/>
                <w:sz w:val="22"/>
                <w:szCs w:val="22"/>
              </w:rPr>
              <w:t>rf</w:t>
            </w:r>
            <w:r w:rsidRPr="00A832D2">
              <w:rPr>
                <w:rFonts w:ascii="Arial" w:hAnsi="Arial" w:cs="Arial"/>
                <w:sz w:val="22"/>
                <w:szCs w:val="22"/>
              </w:rPr>
              <w:t>oration und Abszess)</w:t>
            </w:r>
          </w:p>
          <w:p w:rsidR="007443A0" w:rsidRPr="00A832D2" w:rsidRDefault="007443A0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K57.2 (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Divertikulose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des Dickdarmes mit Perforation und Abszess)</w:t>
            </w:r>
          </w:p>
          <w:p w:rsidR="007443A0" w:rsidRPr="00A832D2" w:rsidRDefault="007443A0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K57.4 (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Divertikulose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sowohl des Dünndarmes als auch des Dickdarmes mit Perforation und Abszess)</w:t>
            </w:r>
          </w:p>
          <w:p w:rsidR="00E400A8" w:rsidRPr="00A832D2" w:rsidRDefault="00E400A8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N10 (Akute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Pyelonephritis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(Akute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tubulointerstitielle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Nephritis)</w:t>
            </w:r>
          </w:p>
          <w:p w:rsidR="00E400A8" w:rsidRPr="00A832D2" w:rsidRDefault="00E400A8" w:rsidP="007443A0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N30.0 (Akute Zystitis)</w:t>
            </w:r>
          </w:p>
          <w:p w:rsidR="008E6675" w:rsidRPr="00A832D2" w:rsidRDefault="008E6675" w:rsidP="007C7E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rPr>
          <w:trHeight w:val="234"/>
        </w:trPr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2.2 Welche bestehende Methode wird durch die neue Methode abgelöst oder ergänzt?</w:t>
            </w:r>
          </w:p>
        </w:tc>
      </w:tr>
      <w:tr w:rsidR="008E6675" w:rsidRPr="00AE29E1">
        <w:tc>
          <w:tcPr>
            <w:tcW w:w="9212" w:type="dxa"/>
          </w:tcPr>
          <w:p w:rsidR="009D11A8" w:rsidRPr="00A832D2" w:rsidRDefault="00AF27B0" w:rsidP="009D11A8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Es ist</w:t>
            </w:r>
            <w:r w:rsidR="009D11A8" w:rsidRPr="00A832D2">
              <w:rPr>
                <w:rFonts w:ascii="Arial" w:hAnsi="Arial" w:cs="Arial"/>
                <w:sz w:val="22"/>
                <w:szCs w:val="22"/>
              </w:rPr>
              <w:t xml:space="preserve"> erstrebenswert, dass </w:t>
            </w:r>
            <w:proofErr w:type="spellStart"/>
            <w:r w:rsidR="009D11A8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9D11A8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D11A8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9D11A8" w:rsidRPr="00A832D2">
              <w:rPr>
                <w:rFonts w:ascii="Arial" w:hAnsi="Arial" w:cs="Arial"/>
                <w:sz w:val="22"/>
                <w:szCs w:val="22"/>
              </w:rPr>
              <w:t xml:space="preserve"> die „kalkulierte“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Therapie</w:t>
            </w:r>
            <w:r w:rsidR="009D11A8" w:rsidRPr="00A832D2">
              <w:rPr>
                <w:rFonts w:ascii="Arial" w:hAnsi="Arial" w:cs="Arial"/>
                <w:sz w:val="22"/>
                <w:szCs w:val="22"/>
              </w:rPr>
              <w:t xml:space="preserve"> mit </w:t>
            </w:r>
            <w:proofErr w:type="spellStart"/>
            <w:r w:rsidR="009D11A8" w:rsidRPr="00A832D2">
              <w:rPr>
                <w:rFonts w:ascii="Arial" w:hAnsi="Arial" w:cs="Arial"/>
                <w:sz w:val="22"/>
                <w:szCs w:val="22"/>
              </w:rPr>
              <w:t>Carbapenemen</w:t>
            </w:r>
            <w:proofErr w:type="spellEnd"/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 ablöst</w:t>
            </w:r>
            <w:r w:rsidR="009D11A8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169">
              <w:rPr>
                <w:rFonts w:ascii="Arial" w:hAnsi="Arial" w:cs="Arial"/>
                <w:sz w:val="22"/>
                <w:szCs w:val="22"/>
              </w:rPr>
              <w:t>bei</w:t>
            </w:r>
            <w:r w:rsidR="00541169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32D2">
              <w:rPr>
                <w:rFonts w:ascii="Arial" w:hAnsi="Arial" w:cs="Arial"/>
                <w:sz w:val="22"/>
                <w:szCs w:val="22"/>
              </w:rPr>
              <w:t xml:space="preserve">Patienten mit </w:t>
            </w:r>
            <w:proofErr w:type="spellStart"/>
            <w:r w:rsid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="00A832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92F25"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oder </w:t>
            </w:r>
            <w:r w:rsidR="00A832D2">
              <w:rPr>
                <w:rFonts w:ascii="Arial" w:hAnsi="Arial" w:cs="Arial"/>
                <w:sz w:val="22"/>
                <w:szCs w:val="22"/>
              </w:rPr>
              <w:t xml:space="preserve">einer akuten </w:t>
            </w:r>
            <w:proofErr w:type="spellStart"/>
            <w:r w:rsidR="00A832D2">
              <w:rPr>
                <w:rFonts w:ascii="Arial" w:hAnsi="Arial" w:cs="Arial"/>
                <w:sz w:val="22"/>
                <w:szCs w:val="22"/>
              </w:rPr>
              <w:t>Pyelonephritis</w:t>
            </w:r>
            <w:proofErr w:type="spellEnd"/>
            <w:r w:rsidR="00692F25" w:rsidRPr="00A832D2">
              <w:rPr>
                <w:rFonts w:ascii="Arial" w:hAnsi="Arial" w:cs="Arial"/>
                <w:sz w:val="22"/>
                <w:szCs w:val="22"/>
              </w:rPr>
              <w:t>, bei den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en Keime mit Resistenzen gegen die in </w:t>
            </w:r>
            <w:r w:rsidR="00C0383C" w:rsidRPr="00A832D2">
              <w:rPr>
                <w:rFonts w:ascii="Arial" w:hAnsi="Arial" w:cs="Arial"/>
                <w:sz w:val="22"/>
                <w:szCs w:val="22"/>
              </w:rPr>
              <w:t>den Leitlinien empfohlenen Anti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biotika </w:t>
            </w:r>
            <w:r w:rsidR="00C0383C" w:rsidRPr="00A832D2">
              <w:rPr>
                <w:rFonts w:ascii="Arial" w:hAnsi="Arial" w:cs="Arial"/>
                <w:sz w:val="22"/>
                <w:szCs w:val="22"/>
              </w:rPr>
              <w:t xml:space="preserve">zur Initialtherapie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>vermutet werden,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um der </w:t>
            </w:r>
            <w:r w:rsidR="006A4054" w:rsidRPr="00A832D2">
              <w:rPr>
                <w:rFonts w:ascii="Arial" w:hAnsi="Arial" w:cs="Arial"/>
                <w:sz w:val="22"/>
                <w:szCs w:val="22"/>
              </w:rPr>
              <w:t xml:space="preserve">bedrohlichen 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Resistenzbildung gegen </w:t>
            </w:r>
            <w:proofErr w:type="spellStart"/>
            <w:r w:rsidR="00692F25" w:rsidRPr="00A832D2">
              <w:rPr>
                <w:rFonts w:ascii="Arial" w:hAnsi="Arial" w:cs="Arial"/>
                <w:sz w:val="22"/>
                <w:szCs w:val="22"/>
              </w:rPr>
              <w:t>Carbapeneme</w:t>
            </w:r>
            <w:proofErr w:type="spellEnd"/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entgegen zu wirken.</w:t>
            </w:r>
            <w:r w:rsidR="006A4054" w:rsidRPr="00A832D2">
              <w:rPr>
                <w:rFonts w:ascii="Arial" w:hAnsi="Arial" w:cs="Arial"/>
                <w:sz w:val="22"/>
                <w:szCs w:val="22"/>
              </w:rPr>
              <w:t xml:space="preserve"> „Kalkulierte“ Therapie heißt eine Antibiotikatherapie, die sich auf Vermutungen bezüglich der Resistenzen der Pathogene stütz</w:t>
            </w:r>
            <w:r w:rsidR="00CD1186">
              <w:rPr>
                <w:rFonts w:ascii="Arial" w:hAnsi="Arial" w:cs="Arial"/>
                <w:sz w:val="22"/>
                <w:szCs w:val="22"/>
              </w:rPr>
              <w:t>t</w:t>
            </w:r>
            <w:r w:rsidR="006A4054" w:rsidRPr="00A832D2">
              <w:rPr>
                <w:rFonts w:ascii="Arial" w:hAnsi="Arial" w:cs="Arial"/>
                <w:sz w:val="22"/>
                <w:szCs w:val="22"/>
              </w:rPr>
              <w:t>, da Ergebnisse zur Sensitivität des Erregers noch nicht vorliegen.</w:t>
            </w:r>
          </w:p>
          <w:p w:rsidR="009D11A8" w:rsidRPr="00A832D2" w:rsidRDefault="009D11A8" w:rsidP="0047608F">
            <w:pPr>
              <w:rPr>
                <w:rFonts w:ascii="Arial" w:hAnsi="Arial" w:cs="Arial"/>
                <w:sz w:val="22"/>
                <w:szCs w:val="22"/>
              </w:rPr>
            </w:pPr>
          </w:p>
          <w:p w:rsidR="00BB060C" w:rsidRPr="00BB060C" w:rsidRDefault="0047608F" w:rsidP="00BB060C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lastRenderedPageBreak/>
              <w:t xml:space="preserve">Aufgrund 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A832D2">
              <w:rPr>
                <w:rFonts w:ascii="Arial" w:hAnsi="Arial" w:cs="Arial"/>
                <w:sz w:val="22"/>
                <w:szCs w:val="22"/>
              </w:rPr>
              <w:t>wachsenden Resistenzbildung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 kommt es immer häufiger zu Resistenzen</w:t>
            </w:r>
            <w:r w:rsidR="00D849B5" w:rsidRPr="00A832D2">
              <w:rPr>
                <w:rFonts w:ascii="Arial" w:hAnsi="Arial" w:cs="Arial"/>
                <w:sz w:val="22"/>
                <w:szCs w:val="22"/>
              </w:rPr>
              <w:t xml:space="preserve"> gegen 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>viele</w:t>
            </w:r>
            <w:r w:rsidR="00D849B5" w:rsidRPr="00A832D2">
              <w:rPr>
                <w:rFonts w:ascii="Arial" w:hAnsi="Arial" w:cs="Arial"/>
                <w:sz w:val="22"/>
                <w:szCs w:val="22"/>
              </w:rPr>
              <w:t xml:space="preserve"> Antibiotika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mit einem </w:t>
            </w:r>
            <w:r w:rsidR="00C0383C" w:rsidRPr="00A832D2">
              <w:rPr>
                <w:rFonts w:ascii="Arial" w:hAnsi="Arial" w:cs="Arial"/>
                <w:sz w:val="22"/>
                <w:szCs w:val="22"/>
              </w:rPr>
              <w:t>engeren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 Wirkspektrum, die laut Leitlinien </w:t>
            </w:r>
            <w:r w:rsidR="00293B91" w:rsidRPr="00A832D2">
              <w:rPr>
                <w:rFonts w:ascii="Arial" w:hAnsi="Arial" w:cs="Arial"/>
                <w:sz w:val="22"/>
                <w:szCs w:val="22"/>
              </w:rPr>
              <w:t>als Initialt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>herapie empfohlen werden</w:t>
            </w:r>
            <w:r w:rsidR="003C2A2E" w:rsidRPr="00A832D2">
              <w:rPr>
                <w:rFonts w:ascii="Arial" w:hAnsi="Arial" w:cs="Arial"/>
                <w:sz w:val="22"/>
                <w:szCs w:val="22"/>
              </w:rPr>
              <w:t xml:space="preserve">, wie zum Beispiel </w:t>
            </w:r>
            <w:proofErr w:type="spellStart"/>
            <w:r w:rsidR="00694FFC" w:rsidRPr="00A832D2">
              <w:rPr>
                <w:rFonts w:ascii="Arial" w:hAnsi="Arial" w:cs="Arial"/>
                <w:sz w:val="22"/>
                <w:szCs w:val="22"/>
              </w:rPr>
              <w:t>Aminopenicilline</w:t>
            </w:r>
            <w:proofErr w:type="spellEnd"/>
            <w:r w:rsidR="00694FFC" w:rsidRPr="00A832D2">
              <w:rPr>
                <w:rFonts w:ascii="Arial" w:hAnsi="Arial" w:cs="Arial"/>
                <w:sz w:val="22"/>
                <w:szCs w:val="22"/>
              </w:rPr>
              <w:t xml:space="preserve"> in Kombination mit einem </w:t>
            </w:r>
            <w:r w:rsidR="008D6955" w:rsidRPr="008D6955">
              <w:rPr>
                <w:rFonts w:ascii="Symbol" w:hAnsi="Symbol" w:cs="Arial"/>
                <w:sz w:val="22"/>
                <w:szCs w:val="22"/>
              </w:rPr>
              <w:t></w:t>
            </w:r>
            <w:r w:rsidR="00694FFC" w:rsidRPr="00A832D2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694FFC" w:rsidRPr="00A832D2">
              <w:rPr>
                <w:rFonts w:ascii="Arial" w:hAnsi="Arial" w:cs="Arial"/>
                <w:sz w:val="22"/>
                <w:szCs w:val="22"/>
              </w:rPr>
              <w:t>Lactamase</w:t>
            </w:r>
            <w:proofErr w:type="spellEnd"/>
            <w:r w:rsidR="00694FFC" w:rsidRPr="00A832D2">
              <w:rPr>
                <w:rFonts w:ascii="Arial" w:hAnsi="Arial" w:cs="Arial"/>
                <w:sz w:val="22"/>
                <w:szCs w:val="22"/>
              </w:rPr>
              <w:t xml:space="preserve"> Inhibitor (</w:t>
            </w:r>
            <w:r w:rsidR="00214A79" w:rsidRPr="00A832D2">
              <w:rPr>
                <w:rFonts w:ascii="Arial" w:hAnsi="Arial" w:cs="Arial"/>
                <w:sz w:val="22"/>
                <w:szCs w:val="22"/>
              </w:rPr>
              <w:t xml:space="preserve">Grabe et al; </w:t>
            </w:r>
            <w:proofErr w:type="spellStart"/>
            <w:r w:rsidR="00214A79" w:rsidRPr="00A832D2">
              <w:rPr>
                <w:rFonts w:ascii="Arial" w:hAnsi="Arial" w:cs="Arial"/>
                <w:sz w:val="22"/>
                <w:szCs w:val="22"/>
              </w:rPr>
              <w:t>Bodmann</w:t>
            </w:r>
            <w:proofErr w:type="spellEnd"/>
            <w:r w:rsidR="00214A79" w:rsidRPr="00A832D2">
              <w:rPr>
                <w:rFonts w:ascii="Arial" w:hAnsi="Arial" w:cs="Arial"/>
                <w:sz w:val="22"/>
                <w:szCs w:val="22"/>
              </w:rPr>
              <w:t xml:space="preserve"> et al)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. Folge dieser besorgniserregenden Entwicklung ist, dass </w:t>
            </w:r>
            <w:r w:rsidR="00D849B5" w:rsidRPr="00A832D2">
              <w:rPr>
                <w:rFonts w:ascii="Arial" w:hAnsi="Arial" w:cs="Arial"/>
                <w:sz w:val="22"/>
                <w:szCs w:val="22"/>
              </w:rPr>
              <w:t xml:space="preserve">immer häufiger </w:t>
            </w:r>
            <w:proofErr w:type="spellStart"/>
            <w:r w:rsidR="00577699" w:rsidRPr="00A832D2">
              <w:rPr>
                <w:rFonts w:ascii="Arial" w:hAnsi="Arial" w:cs="Arial"/>
                <w:sz w:val="22"/>
                <w:szCs w:val="22"/>
              </w:rPr>
              <w:t>Carbapeneme</w:t>
            </w:r>
            <w:proofErr w:type="spellEnd"/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D849B5" w:rsidRPr="00A832D2">
              <w:rPr>
                <w:rFonts w:ascii="Arial" w:hAnsi="Arial" w:cs="Arial"/>
                <w:sz w:val="22"/>
                <w:szCs w:val="22"/>
              </w:rPr>
              <w:t>Antibiotika-Klasse mit dem breitesten Wirkspektrum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41169" w:rsidRPr="00541169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="00C0383C" w:rsidRPr="00A832D2">
              <w:rPr>
                <w:rFonts w:ascii="Arial" w:hAnsi="Arial" w:cs="Arial"/>
                <w:sz w:val="22"/>
                <w:szCs w:val="22"/>
              </w:rPr>
              <w:t xml:space="preserve">Patienten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>zur Anwendung kommen</w:t>
            </w:r>
            <w:r w:rsidR="003E4D2C">
              <w:rPr>
                <w:rFonts w:ascii="Arial" w:hAnsi="Arial" w:cs="Arial"/>
                <w:sz w:val="22"/>
                <w:szCs w:val="22"/>
              </w:rPr>
              <w:t>, die aufgrund ihres Erreger</w:t>
            </w:r>
            <w:r w:rsidR="00C0383C" w:rsidRPr="00A832D2">
              <w:rPr>
                <w:rFonts w:ascii="Arial" w:hAnsi="Arial" w:cs="Arial"/>
                <w:sz w:val="22"/>
                <w:szCs w:val="22"/>
              </w:rPr>
              <w:t>spektrums eigentlich kein so breit wirkendes Antibiotikum benötigen</w:t>
            </w:r>
            <w:r w:rsidR="00D849B5" w:rsidRPr="00A832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 xml:space="preserve">Der häufige, 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frühe und 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 xml:space="preserve">insbesondere kalkulierte Einsatz </w:t>
            </w:r>
            <w:r w:rsidR="00A832D2">
              <w:rPr>
                <w:rFonts w:ascii="Arial" w:hAnsi="Arial" w:cs="Arial"/>
                <w:sz w:val="22"/>
                <w:szCs w:val="22"/>
              </w:rPr>
              <w:t xml:space="preserve">von </w:t>
            </w:r>
            <w:proofErr w:type="spellStart"/>
            <w:r w:rsidR="00577699" w:rsidRPr="00A832D2">
              <w:rPr>
                <w:rFonts w:ascii="Arial" w:hAnsi="Arial" w:cs="Arial"/>
                <w:sz w:val="22"/>
                <w:szCs w:val="22"/>
              </w:rPr>
              <w:t>Carbapeneme</w:t>
            </w:r>
            <w:r w:rsidR="00A832D2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 xml:space="preserve"> insbesondere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 bei</w:t>
            </w:r>
            <w:r w:rsidR="003C2A2E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 xml:space="preserve">Patienten mit einer hohen Wahrscheinlichkeit für eine </w:t>
            </w:r>
            <w:r w:rsidR="00293B91" w:rsidRPr="00A832D2">
              <w:rPr>
                <w:rFonts w:ascii="Arial" w:hAnsi="Arial" w:cs="Arial"/>
                <w:sz w:val="22"/>
                <w:szCs w:val="22"/>
              </w:rPr>
              <w:t>rezidiv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>e Infektion, wird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 unweigerlich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 xml:space="preserve"> zu einer erhöhten Resistenzbildung 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>gegen</w:t>
            </w:r>
            <w:r w:rsidR="00021B5A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1B5A" w:rsidRPr="00A832D2">
              <w:rPr>
                <w:rFonts w:ascii="Arial" w:hAnsi="Arial" w:cs="Arial"/>
                <w:sz w:val="22"/>
                <w:szCs w:val="22"/>
              </w:rPr>
              <w:t>Carbapeneme</w:t>
            </w:r>
            <w:proofErr w:type="spellEnd"/>
            <w:r w:rsidR="00021B5A" w:rsidRPr="00A832D2">
              <w:rPr>
                <w:rFonts w:ascii="Arial" w:hAnsi="Arial" w:cs="Arial"/>
                <w:sz w:val="22"/>
                <w:szCs w:val="22"/>
              </w:rPr>
              <w:t xml:space="preserve"> führen</w:t>
            </w:r>
            <w:r w:rsidR="008D6955">
              <w:rPr>
                <w:rFonts w:ascii="Arial" w:hAnsi="Arial" w:cs="Arial"/>
                <w:sz w:val="22"/>
                <w:szCs w:val="22"/>
              </w:rPr>
              <w:t>,</w:t>
            </w:r>
            <w:r w:rsidR="00BB060C">
              <w:rPr>
                <w:rFonts w:ascii="Arial Narrow" w:hAnsi="Arial Narrow"/>
              </w:rPr>
              <w:t xml:space="preserve"> </w:t>
            </w:r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was man an </w:t>
            </w:r>
            <w:proofErr w:type="spellStart"/>
            <w:r w:rsidR="00BB060C" w:rsidRPr="00BB060C">
              <w:rPr>
                <w:rFonts w:ascii="Arial" w:hAnsi="Arial" w:cs="Arial"/>
                <w:sz w:val="22"/>
                <w:szCs w:val="22"/>
              </w:rPr>
              <w:t>Carbapenem</w:t>
            </w:r>
            <w:proofErr w:type="spellEnd"/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-resistenten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Pseudomonas</w:t>
            </w:r>
            <w:proofErr w:type="spellEnd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areuginosa</w:t>
            </w:r>
            <w:proofErr w:type="spellEnd"/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 Isolaten (</w:t>
            </w:r>
            <w:proofErr w:type="spellStart"/>
            <w:r w:rsidR="00BB060C" w:rsidRPr="00BB060C">
              <w:rPr>
                <w:rFonts w:ascii="Arial" w:hAnsi="Arial" w:cs="Arial"/>
                <w:sz w:val="22"/>
                <w:szCs w:val="22"/>
              </w:rPr>
              <w:t>Imipenem</w:t>
            </w:r>
            <w:proofErr w:type="spellEnd"/>
            <w:r w:rsidR="00BB060C" w:rsidRPr="00BB060C">
              <w:rPr>
                <w:rFonts w:ascii="Arial" w:hAnsi="Arial" w:cs="Arial"/>
                <w:sz w:val="22"/>
                <w:szCs w:val="22"/>
              </w:rPr>
              <w:t>-resistent) in deutschen Intensivstationen, mit einer Resistenzrate von über 30% bereits heute sehen kann (</w:t>
            </w:r>
            <w:hyperlink r:id="rId10" w:history="1">
              <w:r w:rsidR="00BB060C" w:rsidRPr="00BB060C">
                <w:rPr>
                  <w:rStyle w:val="Hyperlink"/>
                  <w:rFonts w:ascii="Arial" w:hAnsi="Arial" w:cs="Arial"/>
                  <w:sz w:val="22"/>
                  <w:szCs w:val="22"/>
                </w:rPr>
                <w:t>www.antibiotika-sari.de</w:t>
              </w:r>
            </w:hyperlink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, Stand August 2015). Während generell in Deutschland die Resistenzrate für </w:t>
            </w:r>
            <w:proofErr w:type="spellStart"/>
            <w:r w:rsidR="00BB060C" w:rsidRPr="00BB060C">
              <w:rPr>
                <w:rFonts w:ascii="Arial" w:hAnsi="Arial" w:cs="Arial"/>
                <w:sz w:val="22"/>
                <w:szCs w:val="22"/>
              </w:rPr>
              <w:t>Carbapeneme</w:t>
            </w:r>
            <w:proofErr w:type="spellEnd"/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 aktuell noch relativ niedrig ist, ist sie in Europa und weltweit schon alarmierend hoch. Die Rate an </w:t>
            </w:r>
            <w:proofErr w:type="spellStart"/>
            <w:r w:rsidR="00BB060C" w:rsidRPr="00BB060C">
              <w:rPr>
                <w:rFonts w:ascii="Arial" w:hAnsi="Arial" w:cs="Arial"/>
                <w:sz w:val="22"/>
                <w:szCs w:val="22"/>
              </w:rPr>
              <w:t>Carbapenem-resitenten</w:t>
            </w:r>
            <w:proofErr w:type="spellEnd"/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Pseudomonas</w:t>
            </w:r>
            <w:proofErr w:type="spellEnd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aeruginosa</w:t>
            </w:r>
            <w:proofErr w:type="spellEnd"/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 liegt bspw. </w:t>
            </w:r>
            <w:r w:rsidR="00825C85">
              <w:rPr>
                <w:rFonts w:ascii="Arial" w:hAnsi="Arial" w:cs="Arial"/>
                <w:sz w:val="22"/>
                <w:szCs w:val="22"/>
              </w:rPr>
              <w:t>i</w:t>
            </w:r>
            <w:r w:rsidR="00BB060C" w:rsidRPr="00BB060C">
              <w:rPr>
                <w:rFonts w:ascii="Arial" w:hAnsi="Arial" w:cs="Arial"/>
                <w:sz w:val="22"/>
                <w:szCs w:val="22"/>
              </w:rPr>
              <w:t>n Dänemark bei 1%, in Deutschland bei über 15% und in Griechenland und der Slowakei bei 50% und darüber (</w:t>
            </w:r>
            <w:hyperlink r:id="rId11" w:history="1">
              <w:r w:rsidR="00BB060C" w:rsidRPr="00BB060C">
                <w:rPr>
                  <w:rStyle w:val="Hyperlink"/>
                  <w:rFonts w:ascii="Arial" w:hAnsi="Arial" w:cs="Arial"/>
                  <w:sz w:val="22"/>
                  <w:szCs w:val="22"/>
                </w:rPr>
                <w:t>www.ecdc.europe.eu</w:t>
              </w:r>
            </w:hyperlink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, Stand August 2015). </w:t>
            </w:r>
            <w:proofErr w:type="spellStart"/>
            <w:r w:rsidR="00BB060C" w:rsidRPr="00BB060C">
              <w:rPr>
                <w:rFonts w:ascii="Arial" w:hAnsi="Arial" w:cs="Arial"/>
                <w:sz w:val="22"/>
                <w:szCs w:val="22"/>
              </w:rPr>
              <w:t>Carbapeneme</w:t>
            </w:r>
            <w:proofErr w:type="spellEnd"/>
            <w:r w:rsidR="00BB060C" w:rsidRPr="00BB060C">
              <w:rPr>
                <w:rFonts w:ascii="Arial" w:hAnsi="Arial" w:cs="Arial"/>
                <w:sz w:val="22"/>
                <w:szCs w:val="22"/>
              </w:rPr>
              <w:t xml:space="preserve"> sind aufgrund ihres breiten Spektrums und der momentan im Vergleich zu anderen Antibiotika noch relativ geringen Resistenzrate für viele Patienten das Antibiotikum der letzten Wahl.</w:t>
            </w:r>
          </w:p>
          <w:p w:rsidR="0047608F" w:rsidRPr="00A832D2" w:rsidRDefault="0047608F" w:rsidP="0047608F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6F2" w:rsidRPr="00A832D2" w:rsidRDefault="00021B5A" w:rsidP="0047608F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Um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Carbapeneme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mit ihrem breiten Wirkspektrum und geringen Resistenzraten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auch </w:t>
            </w:r>
            <w:r w:rsidRPr="00A832D2">
              <w:rPr>
                <w:rFonts w:ascii="Arial" w:hAnsi="Arial" w:cs="Arial"/>
                <w:sz w:val="22"/>
                <w:szCs w:val="22"/>
              </w:rPr>
              <w:t>in Zukunft als lebensrettende Therapie für kritisch kranke Patienten zur Verfügung zu haben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>,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ist es dringend erforderlic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>h</w:t>
            </w:r>
            <w:r w:rsidR="006B78AD">
              <w:rPr>
                <w:rFonts w:ascii="Arial" w:hAnsi="Arial" w:cs="Arial"/>
                <w:sz w:val="22"/>
                <w:szCs w:val="22"/>
              </w:rPr>
              <w:t>,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>den Einsatz, insbesondere den kalkulierten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Einsatz von </w:t>
            </w:r>
            <w:proofErr w:type="spellStart"/>
            <w:r w:rsidR="00692F25" w:rsidRPr="00A832D2">
              <w:rPr>
                <w:rFonts w:ascii="Arial" w:hAnsi="Arial" w:cs="Arial"/>
                <w:sz w:val="22"/>
                <w:szCs w:val="22"/>
              </w:rPr>
              <w:t>Carbapenemen</w:t>
            </w:r>
            <w:proofErr w:type="spellEnd"/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und den Einsatz von </w:t>
            </w:r>
            <w:proofErr w:type="spellStart"/>
            <w:r w:rsidR="00692F25" w:rsidRPr="00A832D2">
              <w:rPr>
                <w:rFonts w:ascii="Arial" w:hAnsi="Arial" w:cs="Arial"/>
                <w:sz w:val="22"/>
                <w:szCs w:val="22"/>
              </w:rPr>
              <w:t>Carbapenemen</w:t>
            </w:r>
            <w:proofErr w:type="spellEnd"/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78AD">
              <w:rPr>
                <w:rFonts w:ascii="Arial" w:hAnsi="Arial" w:cs="Arial"/>
                <w:sz w:val="22"/>
                <w:szCs w:val="22"/>
              </w:rPr>
              <w:t>bei</w:t>
            </w:r>
            <w:r w:rsidR="006B78AD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Patienten mit einer hohen Wahrscheinlichkeit einer </w:t>
            </w:r>
            <w:r w:rsidR="00293B91" w:rsidRPr="00A832D2">
              <w:rPr>
                <w:rFonts w:ascii="Arial" w:hAnsi="Arial" w:cs="Arial"/>
                <w:sz w:val="22"/>
                <w:szCs w:val="22"/>
              </w:rPr>
              <w:t>rezidiv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>en Infektion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>,</w:t>
            </w:r>
            <w:r w:rsidR="00692F25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zu minimieren. </w:t>
            </w:r>
          </w:p>
          <w:p w:rsidR="004966F2" w:rsidRPr="00A832D2" w:rsidRDefault="004966F2" w:rsidP="004760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F0A" w:rsidRPr="00A832D2" w:rsidRDefault="004966F2" w:rsidP="004966F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ist eine häufig </w:t>
            </w:r>
            <w:r w:rsidR="00293B91" w:rsidRPr="00A832D2">
              <w:rPr>
                <w:rFonts w:ascii="Arial" w:hAnsi="Arial" w:cs="Arial"/>
                <w:sz w:val="22"/>
                <w:szCs w:val="22"/>
              </w:rPr>
              <w:t>rezidiv</w:t>
            </w:r>
            <w:r w:rsidRPr="00A832D2">
              <w:rPr>
                <w:rFonts w:ascii="Arial" w:hAnsi="Arial" w:cs="Arial"/>
                <w:sz w:val="22"/>
                <w:szCs w:val="22"/>
              </w:rPr>
              <w:t>-verlaufende Infektion</w:t>
            </w:r>
            <w:r w:rsidR="00694FFC" w:rsidRPr="00A832D2">
              <w:rPr>
                <w:rFonts w:ascii="Arial" w:hAnsi="Arial" w:cs="Arial"/>
                <w:sz w:val="22"/>
                <w:szCs w:val="22"/>
              </w:rPr>
              <w:t xml:space="preserve"> (Grabe et al</w:t>
            </w:r>
            <w:r w:rsidR="00694FFC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>.)</w:t>
            </w:r>
            <w:r w:rsidR="00BB060C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Viele </w:t>
            </w:r>
            <w:proofErr w:type="spellStart"/>
            <w:r w:rsidR="00BB060C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>cUTI</w:t>
            </w:r>
            <w:proofErr w:type="spellEnd"/>
            <w:r w:rsidR="00BB060C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Patienten in Deutschland werden gegen Pathogene behandelt, für die eine Resistenz gegen die zur Initialtherapie empfohlenen Antibiotika vermutet werden und bestätigt wurden. Zum Beispiel liegen die Resistenzraten</w:t>
            </w:r>
            <w:r w:rsidR="007C10EB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für </w:t>
            </w:r>
            <w:proofErr w:type="spellStart"/>
            <w:r w:rsidR="007C10EB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>Piperacillin</w:t>
            </w:r>
            <w:proofErr w:type="spellEnd"/>
            <w:r w:rsidR="007C10EB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7C10EB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>Tazobactam</w:t>
            </w:r>
            <w:proofErr w:type="spellEnd"/>
            <w:r w:rsidR="007C10EB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>, die</w:t>
            </w:r>
            <w:r w:rsidR="00BB060C" w:rsidRPr="00284ED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am häufigsten verwendete </w:t>
            </w:r>
            <w:r w:rsidR="00BB060C">
              <w:rPr>
                <w:rFonts w:ascii="Arial" w:hAnsi="Arial" w:cs="Arial"/>
                <w:sz w:val="22"/>
                <w:szCs w:val="22"/>
              </w:rPr>
              <w:t xml:space="preserve">Initialtherapie bei </w:t>
            </w:r>
            <w:proofErr w:type="spellStart"/>
            <w:r w:rsidR="00BB060C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BB060C">
              <w:rPr>
                <w:rFonts w:ascii="Arial" w:hAnsi="Arial" w:cs="Arial"/>
                <w:sz w:val="22"/>
                <w:szCs w:val="22"/>
              </w:rPr>
              <w:t xml:space="preserve">, in Nordeuropa bei 21%, 23% und 32% für </w:t>
            </w:r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Escherichia coli</w:t>
            </w:r>
            <w:r w:rsidR="00BB06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Pseudomonas</w:t>
            </w:r>
            <w:proofErr w:type="spellEnd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aeruginosa</w:t>
            </w:r>
            <w:proofErr w:type="spellEnd"/>
            <w:r w:rsidR="00BB060C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Klebsiella</w:t>
            </w:r>
            <w:proofErr w:type="spellEnd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BB060C" w:rsidRPr="00BB060C">
              <w:rPr>
                <w:rFonts w:ascii="Arial" w:hAnsi="Arial" w:cs="Arial"/>
                <w:i/>
                <w:sz w:val="22"/>
                <w:szCs w:val="22"/>
              </w:rPr>
              <w:t>spp</w:t>
            </w:r>
            <w:proofErr w:type="spellEnd"/>
            <w:r w:rsidR="00BB060C"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 w:rsidR="00BB060C">
              <w:rPr>
                <w:rFonts w:ascii="Arial" w:hAnsi="Arial" w:cs="Arial"/>
                <w:sz w:val="22"/>
                <w:szCs w:val="22"/>
              </w:rPr>
              <w:t>Wagenlehner</w:t>
            </w:r>
            <w:proofErr w:type="spellEnd"/>
            <w:r w:rsidR="00BB060C">
              <w:rPr>
                <w:rFonts w:ascii="Arial" w:hAnsi="Arial" w:cs="Arial"/>
                <w:sz w:val="22"/>
                <w:szCs w:val="22"/>
              </w:rPr>
              <w:t xml:space="preserve"> et al., 2014). </w:t>
            </w:r>
            <w:r w:rsidR="00AE213B" w:rsidRPr="00A832D2">
              <w:rPr>
                <w:rFonts w:ascii="Arial" w:hAnsi="Arial" w:cs="Arial"/>
                <w:sz w:val="22"/>
                <w:szCs w:val="22"/>
              </w:rPr>
              <w:t xml:space="preserve">Häufig werden diese Patienten mit </w:t>
            </w:r>
            <w:proofErr w:type="spellStart"/>
            <w:r w:rsidR="00AE213B" w:rsidRPr="00A832D2">
              <w:rPr>
                <w:rFonts w:ascii="Arial" w:hAnsi="Arial" w:cs="Arial"/>
                <w:sz w:val="22"/>
                <w:szCs w:val="22"/>
              </w:rPr>
              <w:t>Carbapenemen</w:t>
            </w:r>
            <w:proofErr w:type="spellEnd"/>
            <w:r w:rsidR="00AE213B" w:rsidRPr="00A832D2">
              <w:rPr>
                <w:rFonts w:ascii="Arial" w:hAnsi="Arial" w:cs="Arial"/>
                <w:sz w:val="22"/>
                <w:szCs w:val="22"/>
              </w:rPr>
              <w:t xml:space="preserve"> behandelt. Alternativen zur Therapie bei diesen Patienten, welche eine hohe Wahrscheinlichkeit für eine </w:t>
            </w:r>
            <w:r w:rsidR="00293B91" w:rsidRPr="00A832D2">
              <w:rPr>
                <w:rFonts w:ascii="Arial" w:hAnsi="Arial" w:cs="Arial"/>
                <w:sz w:val="22"/>
                <w:szCs w:val="22"/>
              </w:rPr>
              <w:t>rezidiv</w:t>
            </w:r>
            <w:r w:rsidR="00AE213B" w:rsidRPr="00A832D2">
              <w:rPr>
                <w:rFonts w:ascii="Arial" w:hAnsi="Arial" w:cs="Arial"/>
                <w:sz w:val="22"/>
                <w:szCs w:val="22"/>
              </w:rPr>
              <w:t>e Infektion haben, werden daher dringend benötigt.</w:t>
            </w:r>
          </w:p>
          <w:p w:rsidR="00EF7F0A" w:rsidRPr="00A832D2" w:rsidRDefault="00EF7F0A" w:rsidP="004966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966F2" w:rsidRPr="00A832D2" w:rsidRDefault="00AE213B" w:rsidP="004966F2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Bei 20% der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Patienten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liegt eine vermutete Resistenz vor und </w:t>
            </w:r>
            <w:r w:rsidR="007B4A71" w:rsidRPr="00A832D2">
              <w:rPr>
                <w:rFonts w:ascii="Arial" w:hAnsi="Arial" w:cs="Arial"/>
                <w:sz w:val="22"/>
                <w:szCs w:val="22"/>
              </w:rPr>
              <w:t xml:space="preserve">bei </w:t>
            </w:r>
            <w:r w:rsidRPr="00A832D2">
              <w:rPr>
                <w:rFonts w:ascii="Arial" w:hAnsi="Arial" w:cs="Arial"/>
                <w:sz w:val="22"/>
                <w:szCs w:val="22"/>
              </w:rPr>
              <w:t>90% d</w:t>
            </w:r>
            <w:r w:rsidR="007B4A71" w:rsidRPr="00A832D2">
              <w:rPr>
                <w:rFonts w:ascii="Arial" w:hAnsi="Arial" w:cs="Arial"/>
                <w:sz w:val="22"/>
                <w:szCs w:val="22"/>
              </w:rPr>
              <w:t>ieser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Patienten </w:t>
            </w:r>
            <w:r w:rsidR="007B4A71" w:rsidRPr="00A832D2">
              <w:rPr>
                <w:rFonts w:ascii="Arial" w:hAnsi="Arial" w:cs="Arial"/>
                <w:sz w:val="22"/>
                <w:szCs w:val="22"/>
              </w:rPr>
              <w:t xml:space="preserve">wird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mit einer </w:t>
            </w:r>
            <w:r w:rsidRPr="00A832D2">
              <w:rPr>
                <w:rFonts w:ascii="Arial" w:hAnsi="Arial" w:cs="Arial"/>
                <w:sz w:val="22"/>
                <w:szCs w:val="22"/>
              </w:rPr>
              <w:t>kalkulierten Therapie</w:t>
            </w:r>
            <w:r w:rsidR="007B4A71" w:rsidRPr="00A832D2">
              <w:rPr>
                <w:rFonts w:ascii="Arial" w:hAnsi="Arial" w:cs="Arial"/>
                <w:sz w:val="22"/>
                <w:szCs w:val="22"/>
              </w:rPr>
              <w:t xml:space="preserve"> gestartet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Gram-negative Bakterien haben ein hohes Adaptionspotential und können die Fähigkeit erwerben eine Reihe von </w:t>
            </w:r>
            <w:r w:rsidR="00530416">
              <w:rPr>
                <w:rFonts w:ascii="Arial" w:hAnsi="Arial" w:cs="Arial"/>
                <w:sz w:val="22"/>
                <w:szCs w:val="22"/>
              </w:rPr>
              <w:t>ß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Lactamasen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zu produzieren und damit resistent gegenüber vielen </w:t>
            </w:r>
            <w:r w:rsidR="00530416">
              <w:rPr>
                <w:rFonts w:ascii="Arial" w:hAnsi="Arial" w:cs="Arial"/>
                <w:sz w:val="22"/>
                <w:szCs w:val="22"/>
              </w:rPr>
              <w:t>ß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>-Lactam Antibiotika zu werden. Häufig werden zusätzlich auch Resistenzen ge</w:t>
            </w:r>
            <w:r w:rsidR="00214A79" w:rsidRPr="00A832D2">
              <w:rPr>
                <w:rFonts w:ascii="Arial" w:hAnsi="Arial" w:cs="Arial"/>
                <w:sz w:val="22"/>
                <w:szCs w:val="22"/>
              </w:rPr>
              <w:t>gen andere Antibiotika-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Klassen erworben, inklusive der 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Fluorchinolone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Aminoglykoside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und den 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Trimethoprim-Sulfamethoxazolen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(Golan</w:t>
            </w:r>
            <w:r w:rsidR="00BB060C">
              <w:rPr>
                <w:rFonts w:ascii="Arial" w:hAnsi="Arial" w:cs="Arial"/>
                <w:sz w:val="22"/>
                <w:szCs w:val="22"/>
              </w:rPr>
              <w:t xml:space="preserve"> et al.,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2015). Aufgrund des 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breiten 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Resistenzspektrums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>wird bei diesen Patienten hä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ufig 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kalkulierte Therapie mit einem 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Carbapenem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>begonnen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>. Alternative</w:t>
            </w:r>
            <w:r w:rsidR="00EF7F0A" w:rsidRPr="00A832D2">
              <w:rPr>
                <w:rFonts w:ascii="Arial" w:hAnsi="Arial" w:cs="Arial"/>
                <w:sz w:val="22"/>
                <w:szCs w:val="22"/>
              </w:rPr>
              <w:t>n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zu </w:t>
            </w:r>
            <w:proofErr w:type="spellStart"/>
            <w:r w:rsidR="004966F2" w:rsidRPr="00A832D2">
              <w:rPr>
                <w:rFonts w:ascii="Arial" w:hAnsi="Arial" w:cs="Arial"/>
                <w:sz w:val="22"/>
                <w:szCs w:val="22"/>
              </w:rPr>
              <w:t>Carbapenemen</w:t>
            </w:r>
            <w:proofErr w:type="spellEnd"/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kalkulierter Therapie 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für Patienten mit </w:t>
            </w:r>
            <w:proofErr w:type="spellStart"/>
            <w:r w:rsidR="00577699"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="00577699"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="003C65A4" w:rsidRPr="00A832D2">
              <w:rPr>
                <w:rFonts w:ascii="Arial" w:hAnsi="Arial" w:cs="Arial"/>
                <w:sz w:val="22"/>
                <w:szCs w:val="22"/>
              </w:rPr>
              <w:t xml:space="preserve"> mit vermuteten</w:t>
            </w:r>
            <w:r w:rsidR="00577699" w:rsidRPr="00A832D2">
              <w:rPr>
                <w:rFonts w:ascii="Arial" w:hAnsi="Arial" w:cs="Arial"/>
                <w:sz w:val="22"/>
                <w:szCs w:val="22"/>
              </w:rPr>
              <w:t xml:space="preserve"> Resistenzen </w:t>
            </w:r>
            <w:r w:rsidR="004966F2" w:rsidRPr="00A832D2">
              <w:rPr>
                <w:rFonts w:ascii="Arial" w:hAnsi="Arial" w:cs="Arial"/>
                <w:sz w:val="22"/>
                <w:szCs w:val="22"/>
              </w:rPr>
              <w:t xml:space="preserve">werden daher dringend benötigt. </w:t>
            </w:r>
          </w:p>
          <w:p w:rsidR="004966F2" w:rsidRPr="00A832D2" w:rsidRDefault="004966F2" w:rsidP="0047608F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F0A" w:rsidRPr="00A832D2" w:rsidRDefault="00540F92" w:rsidP="00EF7F0A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Aufgrund </w:t>
            </w:r>
            <w:r w:rsidR="009A1EF1" w:rsidRPr="00A832D2">
              <w:rPr>
                <w:rFonts w:ascii="Arial" w:hAnsi="Arial" w:cs="Arial"/>
                <w:sz w:val="22"/>
                <w:szCs w:val="22"/>
              </w:rPr>
              <w:t xml:space="preserve">seiner hohen Aktivität gegenüber </w:t>
            </w:r>
            <w:r w:rsidR="00530416">
              <w:rPr>
                <w:rFonts w:ascii="Arial" w:hAnsi="Arial" w:cs="Arial"/>
                <w:sz w:val="22"/>
                <w:szCs w:val="22"/>
              </w:rPr>
              <w:t>ß</w:t>
            </w:r>
            <w:r w:rsidR="009A1EF1" w:rsidRPr="00A832D2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9A1EF1" w:rsidRPr="00A832D2">
              <w:rPr>
                <w:rFonts w:ascii="Arial" w:hAnsi="Arial" w:cs="Arial"/>
                <w:sz w:val="22"/>
                <w:szCs w:val="22"/>
              </w:rPr>
              <w:t>Lactamase</w:t>
            </w:r>
            <w:proofErr w:type="spellEnd"/>
            <w:r w:rsidR="009A1EF1" w:rsidRPr="00A832D2">
              <w:rPr>
                <w:rFonts w:ascii="Arial" w:hAnsi="Arial" w:cs="Arial"/>
                <w:sz w:val="22"/>
                <w:szCs w:val="22"/>
              </w:rPr>
              <w:t xml:space="preserve"> produzierenden </w:t>
            </w:r>
            <w:proofErr w:type="spellStart"/>
            <w:r w:rsidR="009A1EF1" w:rsidRPr="00A832D2">
              <w:rPr>
                <w:rFonts w:ascii="Arial" w:hAnsi="Arial" w:cs="Arial"/>
                <w:sz w:val="22"/>
                <w:szCs w:val="22"/>
              </w:rPr>
              <w:t>Enterobacteriaceae</w:t>
            </w:r>
            <w:proofErr w:type="spellEnd"/>
            <w:r w:rsidR="009A1EF1" w:rsidRPr="00A832D2">
              <w:rPr>
                <w:rFonts w:ascii="Arial" w:hAnsi="Arial" w:cs="Arial"/>
                <w:sz w:val="22"/>
                <w:szCs w:val="22"/>
              </w:rPr>
              <w:t xml:space="preserve"> und resistenten </w:t>
            </w:r>
            <w:proofErr w:type="spellStart"/>
            <w:r w:rsidR="00293B91" w:rsidRPr="00A832D2">
              <w:rPr>
                <w:rFonts w:ascii="Arial" w:hAnsi="Arial" w:cs="Arial"/>
                <w:i/>
                <w:sz w:val="22"/>
                <w:szCs w:val="22"/>
              </w:rPr>
              <w:t>Pseudomonas</w:t>
            </w:r>
            <w:proofErr w:type="spellEnd"/>
            <w:r w:rsidR="00293B91" w:rsidRPr="00A832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93B91" w:rsidRPr="00A832D2">
              <w:rPr>
                <w:rFonts w:ascii="Arial" w:hAnsi="Arial" w:cs="Arial"/>
                <w:i/>
                <w:sz w:val="22"/>
                <w:szCs w:val="22"/>
              </w:rPr>
              <w:t>aeruginosa</w:t>
            </w:r>
            <w:proofErr w:type="spellEnd"/>
            <w:r w:rsidR="009A1EF1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F0A" w:rsidRPr="00A832D2">
              <w:rPr>
                <w:rFonts w:ascii="Arial" w:hAnsi="Arial" w:cs="Arial"/>
                <w:sz w:val="22"/>
                <w:szCs w:val="22"/>
              </w:rPr>
              <w:t>stell</w:t>
            </w:r>
            <w:r w:rsidR="00AE213B" w:rsidRPr="00A832D2">
              <w:rPr>
                <w:rFonts w:ascii="Arial" w:hAnsi="Arial" w:cs="Arial"/>
                <w:sz w:val="22"/>
                <w:szCs w:val="22"/>
              </w:rPr>
              <w:t xml:space="preserve">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213B" w:rsidRPr="00A832D2">
              <w:rPr>
                <w:rFonts w:ascii="Arial" w:hAnsi="Arial" w:cs="Arial"/>
                <w:sz w:val="22"/>
                <w:szCs w:val="22"/>
              </w:rPr>
              <w:t>eine Alternative zu</w:t>
            </w:r>
            <w:r w:rsidRPr="00A832D2">
              <w:rPr>
                <w:rFonts w:ascii="Arial" w:hAnsi="Arial" w:cs="Arial"/>
                <w:sz w:val="22"/>
                <w:szCs w:val="22"/>
              </w:rPr>
              <w:t>r</w:t>
            </w:r>
            <w:r w:rsidR="00AE213B" w:rsidRPr="00A832D2">
              <w:rPr>
                <w:rFonts w:ascii="Arial" w:hAnsi="Arial" w:cs="Arial"/>
                <w:sz w:val="22"/>
                <w:szCs w:val="22"/>
              </w:rPr>
              <w:t xml:space="preserve"> kalkulierten Therapie mit </w:t>
            </w:r>
            <w:proofErr w:type="spellStart"/>
            <w:r w:rsidR="00AE213B" w:rsidRPr="00A832D2">
              <w:rPr>
                <w:rFonts w:ascii="Arial" w:hAnsi="Arial" w:cs="Arial"/>
                <w:sz w:val="22"/>
                <w:szCs w:val="22"/>
              </w:rPr>
              <w:t>Carbapenemen</w:t>
            </w:r>
            <w:proofErr w:type="spellEnd"/>
            <w:r w:rsidR="00AE213B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F0A" w:rsidRPr="00A832D2">
              <w:rPr>
                <w:rFonts w:ascii="Arial" w:hAnsi="Arial" w:cs="Arial"/>
                <w:sz w:val="22"/>
                <w:szCs w:val="22"/>
              </w:rPr>
              <w:t xml:space="preserve">bei </w:t>
            </w:r>
            <w:proofErr w:type="spellStart"/>
            <w:r w:rsidR="00EF7F0A"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="00EF7F0A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F7F0A" w:rsidRPr="00A832D2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="00EF7F0A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F7F0A"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="00EF7F0A" w:rsidRPr="00A832D2">
              <w:rPr>
                <w:rFonts w:ascii="Arial" w:hAnsi="Arial" w:cs="Arial"/>
                <w:sz w:val="22"/>
                <w:szCs w:val="22"/>
              </w:rPr>
              <w:t xml:space="preserve"> Patienten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lastRenderedPageBreak/>
              <w:t>dar</w:t>
            </w:r>
            <w:r w:rsidR="009A1EF1" w:rsidRPr="00A832D2">
              <w:rPr>
                <w:rFonts w:ascii="Arial" w:hAnsi="Arial" w:cs="Arial"/>
                <w:sz w:val="22"/>
                <w:szCs w:val="22"/>
              </w:rPr>
              <w:t xml:space="preserve">, bei denen resistente Keime </w:t>
            </w:r>
            <w:r w:rsidR="009D11A8" w:rsidRPr="00A832D2">
              <w:rPr>
                <w:rFonts w:ascii="Arial" w:hAnsi="Arial" w:cs="Arial"/>
                <w:sz w:val="22"/>
                <w:szCs w:val="22"/>
              </w:rPr>
              <w:t xml:space="preserve">gegen die von den entsprechenden Leitlinien empfohlenen Antibiotika </w:t>
            </w:r>
            <w:r w:rsidR="00293B91" w:rsidRPr="00A832D2">
              <w:rPr>
                <w:rFonts w:ascii="Arial" w:hAnsi="Arial" w:cs="Arial"/>
                <w:sz w:val="22"/>
                <w:szCs w:val="22"/>
              </w:rPr>
              <w:t xml:space="preserve">zur Initialtherapie </w:t>
            </w:r>
            <w:r w:rsidR="009D11A8" w:rsidRPr="00A832D2">
              <w:rPr>
                <w:rFonts w:ascii="Arial" w:hAnsi="Arial" w:cs="Arial"/>
                <w:sz w:val="22"/>
                <w:szCs w:val="22"/>
              </w:rPr>
              <w:t>vermutet werden</w:t>
            </w:r>
            <w:r w:rsidRPr="00A832D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38C1" w:rsidRPr="00A832D2" w:rsidRDefault="00F738C1" w:rsidP="00041CEE">
            <w:pPr>
              <w:rPr>
                <w:rFonts w:ascii="Arial" w:hAnsi="Arial" w:cs="Arial"/>
                <w:sz w:val="22"/>
                <w:szCs w:val="22"/>
              </w:rPr>
            </w:pPr>
          </w:p>
          <w:p w:rsidR="00EF7F0A" w:rsidRPr="00A832D2" w:rsidRDefault="0018398D" w:rsidP="00041C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C4D1C" w:rsidRPr="00A832D2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ist</w:t>
            </w:r>
            <w:r w:rsidR="00EF7F0A" w:rsidRPr="00A832D2">
              <w:rPr>
                <w:rFonts w:ascii="Arial" w:hAnsi="Arial" w:cs="Arial"/>
                <w:sz w:val="22"/>
                <w:szCs w:val="22"/>
              </w:rPr>
              <w:t xml:space="preserve"> empfehlenswert, das</w:t>
            </w:r>
            <w:r w:rsidR="004C4D1C" w:rsidRPr="00A832D2">
              <w:rPr>
                <w:rFonts w:ascii="Arial" w:hAnsi="Arial" w:cs="Arial"/>
                <w:sz w:val="22"/>
                <w:szCs w:val="22"/>
              </w:rPr>
              <w:t>s</w:t>
            </w:r>
            <w:r w:rsidR="0004077A">
              <w:rPr>
                <w:rFonts w:ascii="Arial" w:hAnsi="Arial" w:cs="Arial"/>
                <w:sz w:val="22"/>
                <w:szCs w:val="22"/>
              </w:rPr>
              <w:t xml:space="preserve"> bei einem Einsatz</w:t>
            </w:r>
            <w:r>
              <w:rPr>
                <w:rFonts w:ascii="Arial" w:hAnsi="Arial" w:cs="Arial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04077A">
              <w:rPr>
                <w:rFonts w:ascii="Arial" w:hAnsi="Arial" w:cs="Arial"/>
                <w:sz w:val="22"/>
                <w:szCs w:val="22"/>
              </w:rPr>
              <w:t xml:space="preserve">, der aus medizinischer </w:t>
            </w:r>
            <w:r>
              <w:rPr>
                <w:rFonts w:ascii="Arial" w:hAnsi="Arial" w:cs="Arial"/>
                <w:sz w:val="22"/>
                <w:szCs w:val="22"/>
              </w:rPr>
              <w:t xml:space="preserve">Sicht </w:t>
            </w:r>
            <w:r w:rsidR="0004077A">
              <w:rPr>
                <w:rFonts w:ascii="Arial" w:hAnsi="Arial" w:cs="Arial"/>
                <w:sz w:val="22"/>
                <w:szCs w:val="22"/>
              </w:rPr>
              <w:t xml:space="preserve">und auch </w:t>
            </w:r>
            <w:r>
              <w:rPr>
                <w:rFonts w:ascii="Arial" w:hAnsi="Arial" w:cs="Arial"/>
                <w:sz w:val="22"/>
                <w:szCs w:val="22"/>
              </w:rPr>
              <w:t xml:space="preserve">aus Sicht der </w:t>
            </w:r>
            <w:proofErr w:type="spellStart"/>
            <w:r w:rsidR="0004077A">
              <w:rPr>
                <w:rFonts w:ascii="Arial" w:hAnsi="Arial" w:cs="Arial"/>
                <w:sz w:val="22"/>
                <w:szCs w:val="22"/>
              </w:rPr>
              <w:t>Antimicrobial</w:t>
            </w:r>
            <w:proofErr w:type="spellEnd"/>
            <w:r w:rsidR="00040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5196">
              <w:rPr>
                <w:rFonts w:ascii="Arial" w:hAnsi="Arial" w:cs="Arial"/>
                <w:sz w:val="22"/>
                <w:szCs w:val="22"/>
              </w:rPr>
              <w:t>Stewardship</w:t>
            </w:r>
            <w:proofErr w:type="spellEnd"/>
            <w:r w:rsidR="00040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einem Einsatz von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Carbapenemen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vorgezogen werden sollte, kein finanzieller Nachteil entsteht.</w:t>
            </w:r>
          </w:p>
          <w:p w:rsidR="00694FFC" w:rsidRPr="00A832D2" w:rsidRDefault="00694FFC" w:rsidP="00041CEE">
            <w:pPr>
              <w:rPr>
                <w:rFonts w:ascii="Arial" w:hAnsi="Arial" w:cs="Arial"/>
                <w:sz w:val="22"/>
                <w:szCs w:val="22"/>
              </w:rPr>
            </w:pPr>
          </w:p>
          <w:p w:rsidR="00694FFC" w:rsidRPr="00A832D2" w:rsidRDefault="00694FFC" w:rsidP="00041CE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32D2">
              <w:rPr>
                <w:rFonts w:ascii="Arial" w:hAnsi="Arial" w:cs="Arial"/>
                <w:sz w:val="22"/>
                <w:szCs w:val="22"/>
                <w:u w:val="single"/>
              </w:rPr>
              <w:t>Referenzen:</w:t>
            </w:r>
          </w:p>
          <w:p w:rsidR="00694FFC" w:rsidRPr="00A832D2" w:rsidRDefault="00694FFC" w:rsidP="00041CE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Bodmann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et al.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Chemother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J. 2010; 19: 179</w:t>
            </w:r>
          </w:p>
          <w:p w:rsidR="00694FFC" w:rsidRPr="00A832D2" w:rsidRDefault="00694FFC" w:rsidP="00041CE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32D2">
              <w:rPr>
                <w:rFonts w:ascii="Arial" w:hAnsi="Arial" w:cs="Arial"/>
                <w:sz w:val="22"/>
                <w:szCs w:val="22"/>
                <w:lang w:val="en-US"/>
              </w:rPr>
              <w:t>Golan et al. BMC Infectious Diseases. 2015; 15:313</w:t>
            </w:r>
          </w:p>
          <w:p w:rsidR="00FE619D" w:rsidRDefault="00694FFC" w:rsidP="009256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A832D2">
              <w:rPr>
                <w:rFonts w:ascii="Arial" w:hAnsi="Arial" w:cs="Arial"/>
                <w:sz w:val="22"/>
                <w:szCs w:val="22"/>
                <w:lang w:val="en-US"/>
              </w:rPr>
              <w:t>Grabe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  <w:lang w:val="en-US"/>
              </w:rPr>
              <w:t xml:space="preserve"> et al. Guidelines on Urological Infection. European Association of Urology. </w:t>
            </w:r>
          </w:p>
          <w:p w:rsidR="00BB060C" w:rsidRPr="008D6955" w:rsidRDefault="00BB060C" w:rsidP="0092568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6955">
              <w:rPr>
                <w:rFonts w:ascii="Arial" w:hAnsi="Arial" w:cs="Arial"/>
                <w:sz w:val="22"/>
                <w:szCs w:val="22"/>
                <w:lang w:val="en-US"/>
              </w:rPr>
              <w:t>Wagenlehner</w:t>
            </w:r>
            <w:proofErr w:type="spellEnd"/>
            <w:r w:rsidRPr="008D6955">
              <w:rPr>
                <w:rFonts w:ascii="Arial" w:hAnsi="Arial" w:cs="Arial"/>
                <w:sz w:val="22"/>
                <w:szCs w:val="22"/>
                <w:lang w:val="en-US"/>
              </w:rPr>
              <w:t xml:space="preserve"> et al. 2014</w:t>
            </w:r>
            <w:r w:rsidR="00284EDB" w:rsidRPr="008D6955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1D6F27" w:rsidRPr="008D695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7C0F" w:rsidRPr="008D6955">
              <w:rPr>
                <w:rFonts w:ascii="Arial" w:hAnsi="Arial" w:cs="Arial"/>
                <w:sz w:val="22"/>
                <w:szCs w:val="22"/>
                <w:lang w:val="en-US"/>
              </w:rPr>
              <w:t>Akt</w:t>
            </w:r>
            <w:proofErr w:type="spellEnd"/>
            <w:r w:rsidR="00347C0F" w:rsidRPr="008D6955">
              <w:rPr>
                <w:rFonts w:ascii="Arial" w:hAnsi="Arial" w:cs="Arial"/>
                <w:sz w:val="22"/>
                <w:szCs w:val="22"/>
                <w:lang w:val="en-US"/>
              </w:rPr>
              <w:t xml:space="preserve"> Urol. 45:1-12</w:t>
            </w:r>
          </w:p>
        </w:tc>
      </w:tr>
    </w:tbl>
    <w:p w:rsidR="008E6675" w:rsidRPr="008D6955" w:rsidRDefault="008E6675" w:rsidP="005638E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2.3 Ist die Methode vollständig oder in Teilen neu und warum handelt es sich um eine neue Untersuchungs- und Behandlungsmethode?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7A3010" w:rsidP="00090DD1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Die Therapie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stand bisher nicht zur Verfügung</w:t>
            </w:r>
            <w:r w:rsidR="00614AA6">
              <w:rPr>
                <w:rFonts w:ascii="Arial" w:hAnsi="Arial" w:cs="Arial"/>
                <w:sz w:val="22"/>
                <w:szCs w:val="22"/>
              </w:rPr>
              <w:t>,</w:t>
            </w:r>
            <w:r w:rsidR="00860D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AA6">
              <w:rPr>
                <w:rFonts w:ascii="Arial" w:hAnsi="Arial" w:cs="Arial"/>
                <w:sz w:val="22"/>
                <w:szCs w:val="22"/>
              </w:rPr>
              <w:t xml:space="preserve">da die Zulassung </w:t>
            </w:r>
            <w:r w:rsidR="00614AA6" w:rsidRPr="00090DD1">
              <w:rPr>
                <w:rFonts w:ascii="Arial" w:hAnsi="Arial" w:cs="Arial"/>
                <w:sz w:val="22"/>
                <w:szCs w:val="22"/>
              </w:rPr>
              <w:t xml:space="preserve">erst am </w:t>
            </w:r>
            <w:r w:rsidR="00090DD1" w:rsidRPr="00090DD1">
              <w:rPr>
                <w:rFonts w:ascii="Arial" w:hAnsi="Arial" w:cs="Arial"/>
                <w:sz w:val="22"/>
                <w:szCs w:val="22"/>
              </w:rPr>
              <w:t xml:space="preserve">22. September 2015 </w:t>
            </w:r>
            <w:r w:rsidR="00614AA6" w:rsidRPr="00090DD1">
              <w:rPr>
                <w:rFonts w:ascii="Arial" w:hAnsi="Arial" w:cs="Arial"/>
                <w:sz w:val="22"/>
                <w:szCs w:val="22"/>
              </w:rPr>
              <w:t>erfolgte</w:t>
            </w:r>
            <w:r w:rsidR="00614AA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2.4 Welche Auswirkungen hat die Methode auf die Verweildauer im Krankenhaus?</w:t>
            </w:r>
          </w:p>
        </w:tc>
      </w:tr>
      <w:tr w:rsidR="008E6675" w:rsidRPr="00A832D2">
        <w:trPr>
          <w:trHeight w:val="264"/>
        </w:trPr>
        <w:tc>
          <w:tcPr>
            <w:tcW w:w="9212" w:type="dxa"/>
          </w:tcPr>
          <w:p w:rsidR="00A530BE" w:rsidRPr="00A832D2" w:rsidRDefault="008E6675" w:rsidP="00312982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Zur Veränderung der Verweildauer im Krankenhaus können derzeit aufgrund fehlender Erfahrungen keine Aussagen gemacht werden.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3.1 Wann wurde diese Methode in Deutschland eingeführt?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3829BD" w:rsidP="00FE6F20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Das Medikament wird </w:t>
            </w:r>
            <w:r w:rsidR="00FF1165" w:rsidRPr="00A832D2">
              <w:rPr>
                <w:rFonts w:ascii="Arial" w:hAnsi="Arial" w:cs="Arial"/>
                <w:sz w:val="22"/>
                <w:szCs w:val="22"/>
              </w:rPr>
              <w:t xml:space="preserve">voraussichtlich </w:t>
            </w:r>
            <w:r w:rsidR="00FE6F20">
              <w:rPr>
                <w:rFonts w:ascii="Arial" w:hAnsi="Arial" w:cs="Arial"/>
                <w:sz w:val="22"/>
                <w:szCs w:val="22"/>
              </w:rPr>
              <w:t>ab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5C42" w:rsidRPr="00A832D2">
              <w:rPr>
                <w:rFonts w:ascii="Arial" w:hAnsi="Arial" w:cs="Arial"/>
                <w:sz w:val="22"/>
                <w:szCs w:val="22"/>
              </w:rPr>
              <w:t>November 2015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E6F20">
              <w:rPr>
                <w:rFonts w:ascii="Arial" w:hAnsi="Arial" w:cs="Arial"/>
                <w:sz w:val="22"/>
                <w:szCs w:val="22"/>
              </w:rPr>
              <w:t>Deutschland vermarktet.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3.2 Bei Medikamenten: Wann wurde dieses Medikament zugelassen?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783365" w:rsidP="00090DD1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Die Zulassung </w:t>
            </w:r>
            <w:r w:rsidR="00DC0BE3" w:rsidRPr="00A832D2">
              <w:rPr>
                <w:rFonts w:ascii="Arial" w:hAnsi="Arial" w:cs="Arial"/>
                <w:sz w:val="22"/>
                <w:szCs w:val="22"/>
              </w:rPr>
              <w:t>erfolgte a</w:t>
            </w:r>
            <w:r w:rsidR="009A49E2" w:rsidRPr="00A832D2">
              <w:rPr>
                <w:rFonts w:ascii="Arial" w:hAnsi="Arial" w:cs="Arial"/>
                <w:sz w:val="22"/>
                <w:szCs w:val="22"/>
              </w:rPr>
              <w:t>m</w:t>
            </w:r>
            <w:r w:rsidR="00090DD1">
              <w:rPr>
                <w:rFonts w:ascii="Arial" w:hAnsi="Arial" w:cs="Arial"/>
                <w:sz w:val="22"/>
                <w:szCs w:val="22"/>
              </w:rPr>
              <w:t xml:space="preserve"> 22.09.2015.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3.3 Wann wurde die Methode in Ihrem Krankenhaus eingeführt?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3.4 In wie vielen Kliniken wird diese Methode derzeit eingesetzt (Schätzung)?</w:t>
            </w:r>
          </w:p>
        </w:tc>
      </w:tr>
      <w:tr w:rsidR="008E6675" w:rsidRPr="00A832D2">
        <w:tc>
          <w:tcPr>
            <w:tcW w:w="9212" w:type="dxa"/>
          </w:tcPr>
          <w:p w:rsidR="00C66ACB" w:rsidRPr="00A832D2" w:rsidRDefault="00D3787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kann prinzipiell in allen Krankenhäusern angewendet werden. Es ist davon auszugehen, dass Krankenhäuser mit </w:t>
            </w:r>
            <w:r w:rsidR="00B944A3" w:rsidRPr="00A832D2">
              <w:rPr>
                <w:rFonts w:ascii="Arial" w:hAnsi="Arial" w:cs="Arial"/>
                <w:sz w:val="22"/>
                <w:szCs w:val="22"/>
              </w:rPr>
              <w:t>K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 xml:space="preserve">rankenhaus-spezifischen </w:t>
            </w:r>
            <w:r w:rsidR="002D5175" w:rsidRPr="00A832D2">
              <w:rPr>
                <w:rFonts w:ascii="Arial" w:hAnsi="Arial" w:cs="Arial"/>
                <w:sz w:val="22"/>
                <w:szCs w:val="22"/>
              </w:rPr>
              <w:t>Resistenzen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5175" w:rsidRPr="00A832D2">
              <w:rPr>
                <w:rFonts w:ascii="Arial" w:hAnsi="Arial" w:cs="Arial"/>
                <w:sz w:val="22"/>
                <w:szCs w:val="22"/>
              </w:rPr>
              <w:t>häufiger Patienten haben we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>rd</w:t>
            </w:r>
            <w:r w:rsidR="002D5175" w:rsidRPr="00A832D2">
              <w:rPr>
                <w:rFonts w:ascii="Arial" w:hAnsi="Arial" w:cs="Arial"/>
                <w:sz w:val="22"/>
                <w:szCs w:val="22"/>
              </w:rPr>
              <w:t>en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E6F20">
              <w:rPr>
                <w:rFonts w:ascii="Arial" w:hAnsi="Arial" w:cs="Arial"/>
                <w:sz w:val="22"/>
                <w:szCs w:val="22"/>
              </w:rPr>
              <w:t>für die</w:t>
            </w:r>
            <w:r w:rsidR="007A3010" w:rsidRPr="00A832D2">
              <w:rPr>
                <w:rFonts w:ascii="Arial" w:hAnsi="Arial" w:cs="Arial"/>
                <w:sz w:val="22"/>
                <w:szCs w:val="22"/>
              </w:rPr>
              <w:t xml:space="preserve"> eine Resistenz gegen </w:t>
            </w:r>
            <w:r w:rsidR="00214A79" w:rsidRPr="00A832D2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7A3010" w:rsidRPr="00A832D2">
              <w:rPr>
                <w:rFonts w:ascii="Arial" w:hAnsi="Arial" w:cs="Arial"/>
                <w:sz w:val="22"/>
                <w:szCs w:val="22"/>
              </w:rPr>
              <w:t xml:space="preserve">von den Leitlinien empfohlene 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>Antibiotika</w:t>
            </w:r>
            <w:r w:rsidR="007A3010" w:rsidRPr="00A832D2">
              <w:rPr>
                <w:rFonts w:ascii="Arial" w:hAnsi="Arial" w:cs="Arial"/>
                <w:sz w:val="22"/>
                <w:szCs w:val="22"/>
              </w:rPr>
              <w:t xml:space="preserve"> zur Initialtherapie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 xml:space="preserve"> vermutet wird oder bestätigt wurde. </w:t>
            </w:r>
            <w:r w:rsidR="003F6B16" w:rsidRPr="00A832D2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 xml:space="preserve">Anwendung von </w:t>
            </w:r>
            <w:proofErr w:type="spellStart"/>
            <w:r w:rsidR="00176DCA" w:rsidRPr="00A832D2">
              <w:rPr>
                <w:rFonts w:ascii="Arial" w:hAnsi="Arial" w:cs="Arial"/>
                <w:sz w:val="22"/>
                <w:szCs w:val="22"/>
              </w:rPr>
              <w:t>Carbap</w:t>
            </w:r>
            <w:r w:rsidR="003F6B16" w:rsidRPr="00A832D2">
              <w:rPr>
                <w:rFonts w:ascii="Arial" w:hAnsi="Arial" w:cs="Arial"/>
                <w:sz w:val="22"/>
                <w:szCs w:val="22"/>
              </w:rPr>
              <w:t>enemen</w:t>
            </w:r>
            <w:proofErr w:type="spellEnd"/>
            <w:r w:rsidR="003F6B16" w:rsidRPr="00A832D2">
              <w:rPr>
                <w:rFonts w:ascii="Arial" w:hAnsi="Arial" w:cs="Arial"/>
                <w:sz w:val="22"/>
                <w:szCs w:val="22"/>
              </w:rPr>
              <w:t xml:space="preserve"> in diesen Krankenhäusern</w:t>
            </w:r>
            <w:r w:rsidR="00E400A8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B16" w:rsidRPr="00A832D2">
              <w:rPr>
                <w:rFonts w:ascii="Arial" w:hAnsi="Arial" w:cs="Arial"/>
                <w:sz w:val="22"/>
                <w:szCs w:val="22"/>
              </w:rPr>
              <w:t xml:space="preserve">kann </w:t>
            </w:r>
            <w:r w:rsidR="007A3010" w:rsidRPr="00A832D2">
              <w:rPr>
                <w:rFonts w:ascii="Arial" w:hAnsi="Arial" w:cs="Arial"/>
                <w:sz w:val="22"/>
                <w:szCs w:val="22"/>
              </w:rPr>
              <w:t xml:space="preserve">durch den Einsatz von </w:t>
            </w:r>
            <w:proofErr w:type="spellStart"/>
            <w:r w:rsidR="007A3010" w:rsidRPr="00A832D2">
              <w:rPr>
                <w:rFonts w:ascii="Arial" w:hAnsi="Arial" w:cs="Arial"/>
                <w:sz w:val="22"/>
                <w:szCs w:val="22"/>
              </w:rPr>
              <w:t>Ceftolo</w:t>
            </w:r>
            <w:r w:rsidR="003F6B16" w:rsidRPr="00A832D2">
              <w:rPr>
                <w:rFonts w:ascii="Arial" w:hAnsi="Arial" w:cs="Arial"/>
                <w:sz w:val="22"/>
                <w:szCs w:val="22"/>
              </w:rPr>
              <w:t>zan</w:t>
            </w:r>
            <w:proofErr w:type="spellEnd"/>
            <w:r w:rsidR="003F6B16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F6B16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3F6B16" w:rsidRPr="00A832D2">
              <w:rPr>
                <w:rFonts w:ascii="Arial" w:hAnsi="Arial" w:cs="Arial"/>
                <w:sz w:val="22"/>
                <w:szCs w:val="22"/>
              </w:rPr>
              <w:t xml:space="preserve"> minimiert werden. </w:t>
            </w:r>
            <w:proofErr w:type="spellStart"/>
            <w:r w:rsidR="003F6B16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3F6B16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3F6B16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7A3010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B16" w:rsidRPr="00A832D2">
              <w:rPr>
                <w:rFonts w:ascii="Arial" w:hAnsi="Arial" w:cs="Arial"/>
                <w:sz w:val="22"/>
                <w:szCs w:val="22"/>
              </w:rPr>
              <w:t xml:space="preserve">wird </w:t>
            </w:r>
            <w:r w:rsidR="007A3010" w:rsidRPr="00A832D2">
              <w:rPr>
                <w:rFonts w:ascii="Arial" w:hAnsi="Arial" w:cs="Arial"/>
                <w:sz w:val="22"/>
                <w:szCs w:val="22"/>
              </w:rPr>
              <w:t>in d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>iesen Krankenh</w:t>
            </w:r>
            <w:r w:rsidR="007A3010" w:rsidRPr="00A832D2">
              <w:rPr>
                <w:rFonts w:ascii="Arial" w:hAnsi="Arial" w:cs="Arial"/>
                <w:sz w:val="22"/>
                <w:szCs w:val="22"/>
              </w:rPr>
              <w:t xml:space="preserve">äusern vermehrt zum Einsatz 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 xml:space="preserve">kommen. Daher ist davon auszugehen, dass es über die verschiedenen Krankenhäuser hinweg zu einer ungleichmäßigen Verteilung der mit </w:t>
            </w:r>
            <w:proofErr w:type="spellStart"/>
            <w:r w:rsidR="00176DCA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176DCA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76DCA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176DCA" w:rsidRPr="00A832D2">
              <w:rPr>
                <w:rFonts w:ascii="Arial" w:hAnsi="Arial" w:cs="Arial"/>
                <w:sz w:val="22"/>
                <w:szCs w:val="22"/>
              </w:rPr>
              <w:t xml:space="preserve"> verbundenen</w:t>
            </w:r>
            <w:r w:rsidR="002D5175" w:rsidRPr="00A832D2">
              <w:rPr>
                <w:rFonts w:ascii="Arial" w:hAnsi="Arial" w:cs="Arial"/>
                <w:sz w:val="22"/>
                <w:szCs w:val="22"/>
              </w:rPr>
              <w:t>,</w:t>
            </w:r>
            <w:r w:rsidR="00176DCA" w:rsidRPr="00A832D2">
              <w:rPr>
                <w:rFonts w:ascii="Arial" w:hAnsi="Arial" w:cs="Arial"/>
                <w:sz w:val="22"/>
                <w:szCs w:val="22"/>
              </w:rPr>
              <w:t xml:space="preserve"> höheren Kosten kommen wird.</w:t>
            </w:r>
            <w:r w:rsidR="007A3010" w:rsidRPr="00A832D2">
              <w:rPr>
                <w:rFonts w:ascii="Arial" w:hAnsi="Arial" w:cs="Arial"/>
                <w:sz w:val="22"/>
                <w:szCs w:val="22"/>
              </w:rPr>
              <w:t xml:space="preserve"> Eine erhöhte Anwendung in einigen speziellen Krankenhäusern unterstützt den Bedarf eines NUBs.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BD5C42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3.5 Wie viele Patienten wur</w:t>
            </w:r>
            <w:r w:rsidR="00A530BE" w:rsidRPr="00A832D2">
              <w:rPr>
                <w:rFonts w:ascii="Arial" w:hAnsi="Arial" w:cs="Arial"/>
                <w:b/>
                <w:sz w:val="22"/>
                <w:szCs w:val="22"/>
              </w:rPr>
              <w:t>den in Ihrem Krankenhaus in 201</w:t>
            </w:r>
            <w:r w:rsidR="00BD5C42" w:rsidRPr="00A832D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530BE" w:rsidRPr="00A832D2">
              <w:rPr>
                <w:rFonts w:ascii="Arial" w:hAnsi="Arial" w:cs="Arial"/>
                <w:b/>
                <w:sz w:val="22"/>
                <w:szCs w:val="22"/>
              </w:rPr>
              <w:t xml:space="preserve"> oder in 201</w:t>
            </w:r>
            <w:r w:rsidR="00BD5C42" w:rsidRPr="00A832D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832D2">
              <w:rPr>
                <w:rFonts w:ascii="Arial" w:hAnsi="Arial" w:cs="Arial"/>
                <w:b/>
                <w:sz w:val="22"/>
                <w:szCs w:val="22"/>
              </w:rPr>
              <w:t xml:space="preserve"> mit dieser Methode behandelt?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BD5C42" w:rsidP="000B5850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In 2014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CA0301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8E6675" w:rsidP="00BD5C42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In 201</w:t>
            </w:r>
            <w:r w:rsidR="00BD5C42" w:rsidRPr="00A832D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176DCA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BD5C42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3.6 Wie</w:t>
            </w:r>
            <w:r w:rsidR="004A4E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b/>
                <w:sz w:val="22"/>
                <w:szCs w:val="22"/>
              </w:rPr>
              <w:t>viele P</w:t>
            </w:r>
            <w:r w:rsidR="00A530BE" w:rsidRPr="00A832D2">
              <w:rPr>
                <w:rFonts w:ascii="Arial" w:hAnsi="Arial" w:cs="Arial"/>
                <w:b/>
                <w:sz w:val="22"/>
                <w:szCs w:val="22"/>
              </w:rPr>
              <w:t>atienten planen Sie im Jahr 201</w:t>
            </w:r>
            <w:r w:rsidR="00BD5C42" w:rsidRPr="00A832D2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832D2">
              <w:rPr>
                <w:rFonts w:ascii="Arial" w:hAnsi="Arial" w:cs="Arial"/>
                <w:b/>
                <w:sz w:val="22"/>
                <w:szCs w:val="22"/>
              </w:rPr>
              <w:t xml:space="preserve"> mit dieser Methode zu behandeln?</w:t>
            </w:r>
          </w:p>
        </w:tc>
      </w:tr>
      <w:tr w:rsidR="008E6675" w:rsidRPr="00A832D2">
        <w:tc>
          <w:tcPr>
            <w:tcW w:w="9212" w:type="dxa"/>
          </w:tcPr>
          <w:p w:rsidR="008E6675" w:rsidRPr="00A832D2" w:rsidRDefault="00176DCA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  <w:highlight w:val="yellow"/>
              </w:rPr>
              <w:t>XXXXX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4.1 Entstehen durch die neue Methode Mehrkosten gegenüber dem bisher üblichen Verfahren? Wenn ja, wodurch? In welcher Höhe (möglichst aufgetrennt nach Personal- und Sachkosten)?</w:t>
            </w:r>
          </w:p>
        </w:tc>
      </w:tr>
      <w:tr w:rsidR="008E6675" w:rsidRPr="00A832D2">
        <w:tc>
          <w:tcPr>
            <w:tcW w:w="9212" w:type="dxa"/>
          </w:tcPr>
          <w:p w:rsidR="00A530BE" w:rsidRPr="00A832D2" w:rsidRDefault="00270D33" w:rsidP="00A530B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32D2">
              <w:rPr>
                <w:rFonts w:ascii="Arial" w:hAnsi="Arial" w:cs="Arial"/>
                <w:sz w:val="22"/>
                <w:szCs w:val="22"/>
                <w:u w:val="single"/>
              </w:rPr>
              <w:t>Sachkosten:</w:t>
            </w:r>
          </w:p>
          <w:p w:rsidR="00670545" w:rsidRDefault="000B6213" w:rsidP="00A530BE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Die laut Fachinformation empfohlene Dosierung von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ist 1g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und 0,5g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, welches alle 8 Stunden intravenös infundiert wird. Die empfohlene Therapiedauer für die Behandlung beträgt 7 Tage für die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cUTI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und 4-14 Tage für die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. Bei der Behandlung einer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cIAI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mit Verdacht auf Infektion mit Anaerobiern wird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in Kombination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Metronidazol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gegeben. </w:t>
            </w:r>
          </w:p>
          <w:p w:rsidR="00312387" w:rsidRPr="00A832D2" w:rsidRDefault="00312387" w:rsidP="00A530BE">
            <w:pPr>
              <w:rPr>
                <w:rFonts w:ascii="Arial" w:hAnsi="Arial" w:cs="Arial"/>
                <w:sz w:val="22"/>
                <w:szCs w:val="22"/>
              </w:rPr>
            </w:pPr>
          </w:p>
          <w:p w:rsidR="00670545" w:rsidRPr="00A832D2" w:rsidRDefault="00670545" w:rsidP="00A530BE">
            <w:pPr>
              <w:rPr>
                <w:rFonts w:ascii="Arial" w:hAnsi="Arial" w:cs="Arial"/>
                <w:sz w:val="22"/>
                <w:szCs w:val="22"/>
              </w:rPr>
            </w:pPr>
            <w:r w:rsidRPr="003A3C2D">
              <w:rPr>
                <w:rFonts w:ascii="Arial" w:hAnsi="Arial" w:cs="Arial"/>
                <w:sz w:val="22"/>
                <w:szCs w:val="22"/>
              </w:rPr>
              <w:t xml:space="preserve">Für die Behandlung mit </w:t>
            </w:r>
            <w:proofErr w:type="spellStart"/>
            <w:r w:rsidRPr="003A3C2D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Pr="003A3C2D">
              <w:rPr>
                <w:rFonts w:ascii="Arial" w:hAnsi="Arial" w:cs="Arial"/>
                <w:sz w:val="22"/>
                <w:szCs w:val="22"/>
              </w:rPr>
              <w:t xml:space="preserve"> werden laut</w:t>
            </w:r>
            <w:r w:rsidR="00FE6F20" w:rsidRPr="003A3C2D">
              <w:rPr>
                <w:rFonts w:ascii="Arial" w:hAnsi="Arial" w:cs="Arial"/>
                <w:sz w:val="22"/>
                <w:szCs w:val="22"/>
              </w:rPr>
              <w:t xml:space="preserve"> dessen </w:t>
            </w:r>
            <w:r w:rsidRPr="003A3C2D">
              <w:rPr>
                <w:rFonts w:ascii="Arial" w:hAnsi="Arial" w:cs="Arial"/>
                <w:sz w:val="22"/>
                <w:szCs w:val="22"/>
              </w:rPr>
              <w:t>Fachinformation 0,5</w:t>
            </w:r>
            <w:r w:rsidR="00FE6F20" w:rsidRPr="003A3C2D">
              <w:rPr>
                <w:rFonts w:ascii="Arial" w:hAnsi="Arial" w:cs="Arial"/>
                <w:sz w:val="22"/>
                <w:szCs w:val="22"/>
              </w:rPr>
              <w:t>g</w:t>
            </w:r>
            <w:r w:rsidRPr="003A3C2D">
              <w:rPr>
                <w:rFonts w:ascii="Arial" w:hAnsi="Arial" w:cs="Arial"/>
                <w:sz w:val="22"/>
                <w:szCs w:val="22"/>
              </w:rPr>
              <w:t xml:space="preserve"> bis 1g Wirkstoff alle 8 Stunden intravenös infundiert. Die Behandlungsdauer wird in der Fachinformation nicht weiter spezifiziert.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70545" w:rsidRPr="00A832D2" w:rsidRDefault="00670545" w:rsidP="00A530BE">
            <w:pPr>
              <w:rPr>
                <w:rFonts w:ascii="Arial" w:hAnsi="Arial" w:cs="Arial"/>
                <w:sz w:val="22"/>
                <w:szCs w:val="22"/>
              </w:rPr>
            </w:pPr>
          </w:p>
          <w:p w:rsidR="00B87C26" w:rsidRDefault="00AF7755" w:rsidP="00A530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Laut Angaben des Herstellers </w:t>
            </w:r>
            <w:r w:rsidR="006C1A3D">
              <w:rPr>
                <w:rFonts w:ascii="Arial" w:hAnsi="Arial" w:cs="Arial"/>
                <w:sz w:val="22"/>
                <w:szCs w:val="22"/>
              </w:rPr>
              <w:t xml:space="preserve">(zzgl. 19% </w:t>
            </w:r>
            <w:proofErr w:type="spellStart"/>
            <w:r w:rsidR="006C1A3D">
              <w:rPr>
                <w:rFonts w:ascii="Arial" w:hAnsi="Arial" w:cs="Arial"/>
                <w:sz w:val="22"/>
                <w:szCs w:val="22"/>
              </w:rPr>
              <w:t>MwSt</w:t>
            </w:r>
            <w:proofErr w:type="spellEnd"/>
            <w:r w:rsidR="006C1A3D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liegen d</w:t>
            </w:r>
            <w:r w:rsidR="00670545" w:rsidRPr="00A832D2">
              <w:rPr>
                <w:rFonts w:ascii="Arial" w:hAnsi="Arial" w:cs="Arial"/>
                <w:sz w:val="22"/>
                <w:szCs w:val="22"/>
              </w:rPr>
              <w:t>ie Behandlu</w:t>
            </w:r>
            <w:r w:rsidR="00B87C26" w:rsidRPr="00A832D2">
              <w:rPr>
                <w:rFonts w:ascii="Arial" w:hAnsi="Arial" w:cs="Arial"/>
                <w:sz w:val="22"/>
                <w:szCs w:val="22"/>
              </w:rPr>
              <w:t xml:space="preserve">ngskosten für </w:t>
            </w:r>
            <w:proofErr w:type="spellStart"/>
            <w:r w:rsidR="00B87C26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214A79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214A79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8D6955">
              <w:rPr>
                <w:rFonts w:ascii="Arial" w:hAnsi="Arial" w:cs="Arial"/>
                <w:sz w:val="22"/>
                <w:szCs w:val="22"/>
              </w:rPr>
              <w:t xml:space="preserve"> in einem Bereich von </w:t>
            </w:r>
            <w:r w:rsidR="00670545" w:rsidRPr="00A832D2">
              <w:rPr>
                <w:rFonts w:ascii="Arial" w:hAnsi="Arial" w:cs="Arial"/>
                <w:sz w:val="22"/>
                <w:szCs w:val="22"/>
              </w:rPr>
              <w:t>1.309€</w:t>
            </w:r>
            <w:r w:rsidR="00E400A8" w:rsidRPr="00A832D2">
              <w:rPr>
                <w:rFonts w:ascii="Arial" w:hAnsi="Arial" w:cs="Arial"/>
                <w:sz w:val="22"/>
                <w:szCs w:val="22"/>
              </w:rPr>
              <w:t xml:space="preserve"> bei einem Behan</w:t>
            </w:r>
            <w:r w:rsidR="00670545" w:rsidRPr="00A832D2">
              <w:rPr>
                <w:rFonts w:ascii="Arial" w:hAnsi="Arial" w:cs="Arial"/>
                <w:sz w:val="22"/>
                <w:szCs w:val="22"/>
              </w:rPr>
              <w:t>d</w:t>
            </w:r>
            <w:r w:rsidR="00E400A8" w:rsidRPr="00A832D2">
              <w:rPr>
                <w:rFonts w:ascii="Arial" w:hAnsi="Arial" w:cs="Arial"/>
                <w:sz w:val="22"/>
                <w:szCs w:val="22"/>
              </w:rPr>
              <w:t>l</w:t>
            </w:r>
            <w:r w:rsidR="00670545" w:rsidRPr="00A832D2">
              <w:rPr>
                <w:rFonts w:ascii="Arial" w:hAnsi="Arial" w:cs="Arial"/>
                <w:sz w:val="22"/>
                <w:szCs w:val="22"/>
              </w:rPr>
              <w:t xml:space="preserve">ungszeitraum von 4 Tagen und ohne zusätzliche Behandlung mit </w:t>
            </w:r>
            <w:proofErr w:type="spellStart"/>
            <w:r w:rsidR="00670545" w:rsidRPr="00A832D2">
              <w:rPr>
                <w:rFonts w:ascii="Arial" w:hAnsi="Arial" w:cs="Arial"/>
                <w:sz w:val="22"/>
                <w:szCs w:val="22"/>
              </w:rPr>
              <w:t>Metronidazol</w:t>
            </w:r>
            <w:proofErr w:type="spellEnd"/>
            <w:r w:rsidR="00FE6F20">
              <w:rPr>
                <w:rFonts w:ascii="Arial" w:hAnsi="Arial" w:cs="Arial"/>
                <w:sz w:val="22"/>
                <w:szCs w:val="22"/>
              </w:rPr>
              <w:t>. Bei einem Behandlungszeitraum von 14 Tagen entstehen Kosten bis zu</w:t>
            </w:r>
            <w:r w:rsidR="00B07FF1">
              <w:rPr>
                <w:rFonts w:ascii="Arial" w:hAnsi="Arial" w:cs="Arial"/>
                <w:sz w:val="22"/>
                <w:szCs w:val="22"/>
              </w:rPr>
              <w:t xml:space="preserve"> 4.582€</w:t>
            </w:r>
            <w:r w:rsidR="006C1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C2D">
              <w:rPr>
                <w:rFonts w:ascii="Arial" w:hAnsi="Arial" w:cs="Arial"/>
                <w:sz w:val="22"/>
                <w:szCs w:val="22"/>
              </w:rPr>
              <w:t xml:space="preserve">ohne Kombination mit </w:t>
            </w:r>
            <w:r w:rsidR="003A3C2D" w:rsidRPr="003A3C2D">
              <w:rPr>
                <w:rFonts w:ascii="Arial" w:hAnsi="Arial" w:cs="Arial"/>
                <w:sz w:val="22"/>
                <w:szCs w:val="22"/>
              </w:rPr>
              <w:t xml:space="preserve">intravenösem </w:t>
            </w:r>
            <w:proofErr w:type="spellStart"/>
            <w:r w:rsidR="003A3C2D" w:rsidRPr="003A3C2D">
              <w:rPr>
                <w:rFonts w:ascii="Arial" w:hAnsi="Arial" w:cs="Arial"/>
                <w:sz w:val="22"/>
                <w:szCs w:val="22"/>
              </w:rPr>
              <w:t>Metronidazol</w:t>
            </w:r>
            <w:proofErr w:type="spellEnd"/>
            <w:r w:rsidR="00163FD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63FD1" w:rsidRPr="00A832D2" w:rsidRDefault="00163FD1" w:rsidP="00A530BE">
            <w:pPr>
              <w:rPr>
                <w:rFonts w:ascii="Arial" w:hAnsi="Arial" w:cs="Arial"/>
                <w:sz w:val="22"/>
                <w:szCs w:val="22"/>
              </w:rPr>
            </w:pPr>
          </w:p>
          <w:p w:rsidR="00B87C26" w:rsidRDefault="00B87C26" w:rsidP="00A530BE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Die Behandlungskosten für </w:t>
            </w:r>
            <w:r w:rsidR="00B07FF1">
              <w:rPr>
                <w:rFonts w:ascii="Arial" w:hAnsi="Arial" w:cs="Arial"/>
                <w:sz w:val="22"/>
                <w:szCs w:val="22"/>
              </w:rPr>
              <w:t xml:space="preserve">eine viertägige Behandlung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755">
              <w:rPr>
                <w:rFonts w:ascii="Arial" w:hAnsi="Arial" w:cs="Arial"/>
                <w:sz w:val="22"/>
                <w:szCs w:val="22"/>
              </w:rPr>
              <w:t xml:space="preserve">wie sie in der Lauer Taxe aufgeführt sind (Hersteller-Abgabe-Preis </w:t>
            </w:r>
            <w:r w:rsidR="006C1A3D">
              <w:rPr>
                <w:rFonts w:ascii="Arial" w:hAnsi="Arial" w:cs="Arial"/>
                <w:sz w:val="22"/>
                <w:szCs w:val="22"/>
              </w:rPr>
              <w:t>zzgl.</w:t>
            </w:r>
            <w:r w:rsidR="00AF7755">
              <w:rPr>
                <w:rFonts w:ascii="Arial" w:hAnsi="Arial" w:cs="Arial"/>
                <w:sz w:val="22"/>
                <w:szCs w:val="22"/>
              </w:rPr>
              <w:t xml:space="preserve"> 19% </w:t>
            </w:r>
            <w:proofErr w:type="spellStart"/>
            <w:r w:rsidR="00AF7755">
              <w:rPr>
                <w:rFonts w:ascii="Arial" w:hAnsi="Arial" w:cs="Arial"/>
                <w:sz w:val="22"/>
                <w:szCs w:val="22"/>
              </w:rPr>
              <w:t>MwSt</w:t>
            </w:r>
            <w:proofErr w:type="spellEnd"/>
            <w:r w:rsidR="00AF7755">
              <w:rPr>
                <w:rFonts w:ascii="Arial" w:hAnsi="Arial" w:cs="Arial"/>
                <w:sz w:val="22"/>
                <w:szCs w:val="22"/>
              </w:rPr>
              <w:t>) liegen durchschnittlich bei 331€ für eine Therapiedauer von 4 Tagen (</w:t>
            </w:r>
            <w:r w:rsidRPr="00A832D2">
              <w:rPr>
                <w:rFonts w:ascii="Arial" w:hAnsi="Arial" w:cs="Arial"/>
                <w:sz w:val="22"/>
                <w:szCs w:val="22"/>
              </w:rPr>
              <w:t>236€ bei einer Dosierung von 0,5g alle 8 Stunden</w:t>
            </w:r>
            <w:r w:rsidR="00B07FF1">
              <w:rPr>
                <w:rFonts w:ascii="Arial" w:hAnsi="Arial" w:cs="Arial"/>
                <w:sz w:val="22"/>
                <w:szCs w:val="22"/>
              </w:rPr>
              <w:t xml:space="preserve"> und 426€</w:t>
            </w:r>
            <w:r w:rsidR="00AF77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7FF1">
              <w:rPr>
                <w:rFonts w:ascii="Arial" w:hAnsi="Arial" w:cs="Arial"/>
                <w:sz w:val="22"/>
                <w:szCs w:val="22"/>
              </w:rPr>
              <w:t>bei einer Dosierung von 1g alle 8 Stunden</w:t>
            </w:r>
            <w:r w:rsidR="00AF7755">
              <w:rPr>
                <w:rFonts w:ascii="Arial" w:hAnsi="Arial" w:cs="Arial"/>
                <w:sz w:val="22"/>
                <w:szCs w:val="22"/>
              </w:rPr>
              <w:t>)</w:t>
            </w:r>
            <w:r w:rsidR="00FE6F20">
              <w:rPr>
                <w:rFonts w:ascii="Arial" w:hAnsi="Arial" w:cs="Arial"/>
                <w:sz w:val="22"/>
                <w:szCs w:val="22"/>
              </w:rPr>
              <w:t>.</w:t>
            </w:r>
            <w:r w:rsidR="00356F7B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A832D2">
              <w:rPr>
                <w:rFonts w:ascii="Arial" w:hAnsi="Arial" w:cs="Arial"/>
                <w:sz w:val="22"/>
                <w:szCs w:val="22"/>
              </w:rPr>
              <w:t>ei einer</w:t>
            </w:r>
            <w:r w:rsidR="00AF7755">
              <w:rPr>
                <w:rFonts w:ascii="Arial" w:hAnsi="Arial" w:cs="Arial"/>
                <w:sz w:val="22"/>
                <w:szCs w:val="22"/>
              </w:rPr>
              <w:t xml:space="preserve"> 14-tägigen Behandlungsdauer liegen die durchschnittlichen Kosten bei 1.157€ (825€ bei der geringen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Dosierung </w:t>
            </w:r>
            <w:r w:rsidR="00AF7755">
              <w:rPr>
                <w:rFonts w:ascii="Arial" w:hAnsi="Arial" w:cs="Arial"/>
                <w:sz w:val="22"/>
                <w:szCs w:val="22"/>
              </w:rPr>
              <w:t>und 1.490€</w:t>
            </w:r>
            <w:r w:rsidR="00AF7755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755">
              <w:rPr>
                <w:rFonts w:ascii="Arial" w:hAnsi="Arial" w:cs="Arial"/>
                <w:sz w:val="22"/>
                <w:szCs w:val="22"/>
              </w:rPr>
              <w:t>bei der hohen Dosierung).</w:t>
            </w:r>
          </w:p>
          <w:p w:rsidR="00AF7755" w:rsidRPr="00A832D2" w:rsidRDefault="00AF7755" w:rsidP="00A530B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6A21" w:rsidRPr="00A832D2" w:rsidRDefault="0030630E" w:rsidP="00A530BE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Unter der Annahme, dass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 sich die Behandlungsdauer</w:t>
            </w:r>
            <w:r w:rsidRPr="00A832D2">
              <w:rPr>
                <w:rFonts w:ascii="Arial" w:hAnsi="Arial" w:cs="Arial"/>
                <w:sz w:val="22"/>
                <w:szCs w:val="22"/>
              </w:rPr>
              <w:t>n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 der Therapien mit </w:t>
            </w:r>
            <w:proofErr w:type="spellStart"/>
            <w:r w:rsidR="00926A21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926A21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26A21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 bzw</w:t>
            </w:r>
            <w:r w:rsidR="00163FD1">
              <w:rPr>
                <w:rFonts w:ascii="Arial" w:hAnsi="Arial" w:cs="Arial"/>
                <w:sz w:val="22"/>
                <w:szCs w:val="22"/>
              </w:rPr>
              <w:t>.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 mit </w:t>
            </w:r>
            <w:proofErr w:type="spellStart"/>
            <w:r w:rsidR="00926A21"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 nicht unterscheiden, ergeben sich </w:t>
            </w:r>
            <w:r w:rsidR="00163FD1">
              <w:rPr>
                <w:rFonts w:ascii="Arial" w:hAnsi="Arial" w:cs="Arial"/>
                <w:sz w:val="22"/>
                <w:szCs w:val="22"/>
              </w:rPr>
              <w:t xml:space="preserve">demnach </w:t>
            </w:r>
            <w:r w:rsidR="006C1A3D">
              <w:rPr>
                <w:rFonts w:ascii="Arial" w:hAnsi="Arial" w:cs="Arial"/>
                <w:sz w:val="22"/>
                <w:szCs w:val="22"/>
              </w:rPr>
              <w:t xml:space="preserve">durchschnittliche 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Mehrkosten </w:t>
            </w:r>
            <w:r w:rsidR="00FC6CDC" w:rsidRPr="00A832D2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="00163FD1">
              <w:rPr>
                <w:rFonts w:ascii="Arial" w:hAnsi="Arial" w:cs="Arial"/>
                <w:sz w:val="22"/>
                <w:szCs w:val="22"/>
              </w:rPr>
              <w:t>979€</w:t>
            </w:r>
            <w:r w:rsidR="00FC6C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>für eine</w:t>
            </w:r>
            <w:r w:rsidR="00B87C26" w:rsidRPr="00A832D2">
              <w:rPr>
                <w:rFonts w:ascii="Arial" w:hAnsi="Arial" w:cs="Arial"/>
                <w:sz w:val="22"/>
                <w:szCs w:val="22"/>
              </w:rPr>
              <w:t xml:space="preserve"> Behandlung mit </w:t>
            </w:r>
            <w:proofErr w:type="spellStart"/>
            <w:r w:rsidR="00B87C26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B87C26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87C26" w:rsidRPr="00A832D2">
              <w:rPr>
                <w:rFonts w:ascii="Arial" w:hAnsi="Arial" w:cs="Arial"/>
                <w:sz w:val="22"/>
                <w:szCs w:val="22"/>
              </w:rPr>
              <w:t>Taz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>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als Monotherapie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 im Vergleich zu einer Behandlung mit </w:t>
            </w:r>
            <w:proofErr w:type="spellStart"/>
            <w:r w:rsidR="00926A21"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077A">
              <w:rPr>
                <w:rFonts w:ascii="Arial" w:hAnsi="Arial" w:cs="Arial"/>
                <w:sz w:val="22"/>
                <w:szCs w:val="22"/>
              </w:rPr>
              <w:t xml:space="preserve">(Durchschnittspreis der beiden Dosierungen) 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>über einen</w:t>
            </w:r>
            <w:r w:rsidR="00E400A8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6A21" w:rsidRPr="00A832D2">
              <w:rPr>
                <w:rFonts w:ascii="Arial" w:hAnsi="Arial" w:cs="Arial"/>
                <w:sz w:val="22"/>
                <w:szCs w:val="22"/>
              </w:rPr>
              <w:t xml:space="preserve">Zeitraum von 4 Tagen. </w:t>
            </w:r>
          </w:p>
          <w:p w:rsidR="0030630E" w:rsidRPr="00A832D2" w:rsidRDefault="0030630E" w:rsidP="00A530BE">
            <w:pPr>
              <w:rPr>
                <w:rFonts w:ascii="Arial" w:hAnsi="Arial" w:cs="Arial"/>
                <w:sz w:val="22"/>
                <w:szCs w:val="22"/>
              </w:rPr>
            </w:pPr>
          </w:p>
          <w:p w:rsidR="0030630E" w:rsidRPr="00A832D2" w:rsidRDefault="0030630E" w:rsidP="0030630E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Wieder unter der Annahme, dass sich die Behandlungsdauern der Therapien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bzw</w:t>
            </w:r>
            <w:r w:rsidR="00C5633F">
              <w:rPr>
                <w:rFonts w:ascii="Arial" w:hAnsi="Arial" w:cs="Arial"/>
                <w:sz w:val="22"/>
                <w:szCs w:val="22"/>
              </w:rPr>
              <w:t>.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nicht unterscheiden, ergeben sich </w:t>
            </w:r>
            <w:r w:rsidR="006E0E6F">
              <w:rPr>
                <w:rFonts w:ascii="Arial" w:hAnsi="Arial" w:cs="Arial"/>
                <w:sz w:val="22"/>
                <w:szCs w:val="22"/>
              </w:rPr>
              <w:t xml:space="preserve">bei einer Behandlungsdauer von 14 Tagen </w:t>
            </w:r>
            <w:r w:rsidR="005631C6" w:rsidRPr="00A832D2">
              <w:rPr>
                <w:rFonts w:ascii="Arial" w:hAnsi="Arial" w:cs="Arial"/>
                <w:sz w:val="22"/>
                <w:szCs w:val="22"/>
              </w:rPr>
              <w:t xml:space="preserve">im Vergleich zu einer Behandlung mit </w:t>
            </w:r>
            <w:proofErr w:type="spellStart"/>
            <w:r w:rsidR="005631C6"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="005631C6" w:rsidRPr="00A832D2" w:rsidDel="00C563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FD1">
              <w:rPr>
                <w:rFonts w:ascii="Arial" w:hAnsi="Arial" w:cs="Arial"/>
                <w:sz w:val="22"/>
                <w:szCs w:val="22"/>
              </w:rPr>
              <w:t xml:space="preserve">durchschnittliche Mehrkosten von 3.424€.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4AC5" w:rsidRPr="00A832D2" w:rsidRDefault="00EB4AC5" w:rsidP="00EB4AC5">
            <w:pPr>
              <w:rPr>
                <w:rFonts w:ascii="Arial" w:hAnsi="Arial" w:cs="Arial"/>
                <w:sz w:val="22"/>
                <w:szCs w:val="22"/>
              </w:rPr>
            </w:pPr>
          </w:p>
          <w:p w:rsidR="001810AC" w:rsidRPr="00A832D2" w:rsidRDefault="00B52581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S</w:t>
            </w:r>
            <w:r w:rsidR="00146505" w:rsidRPr="00A832D2">
              <w:rPr>
                <w:rFonts w:ascii="Arial" w:hAnsi="Arial" w:cs="Arial"/>
                <w:sz w:val="22"/>
                <w:szCs w:val="22"/>
              </w:rPr>
              <w:t xml:space="preserve">owohl </w:t>
            </w:r>
            <w:proofErr w:type="spellStart"/>
            <w:r w:rsidR="00146505"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="00146505" w:rsidRPr="00A832D2">
              <w:rPr>
                <w:rFonts w:ascii="Arial" w:hAnsi="Arial" w:cs="Arial"/>
                <w:sz w:val="22"/>
                <w:szCs w:val="22"/>
              </w:rPr>
              <w:t xml:space="preserve"> als auch</w:t>
            </w:r>
            <w:r w:rsidR="001810AC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810AC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1810AC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1810AC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1810AC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werden </w:t>
            </w:r>
            <w:r w:rsidR="001810AC" w:rsidRPr="00A832D2">
              <w:rPr>
                <w:rFonts w:ascii="Arial" w:hAnsi="Arial" w:cs="Arial"/>
                <w:sz w:val="22"/>
                <w:szCs w:val="22"/>
              </w:rPr>
              <w:t>intravenös</w:t>
            </w:r>
            <w:r w:rsidR="00FC6CDC">
              <w:rPr>
                <w:rFonts w:ascii="Arial" w:hAnsi="Arial" w:cs="Arial"/>
                <w:sz w:val="22"/>
                <w:szCs w:val="22"/>
              </w:rPr>
              <w:t xml:space="preserve"> verabreicht, </w:t>
            </w:r>
            <w:proofErr w:type="spellStart"/>
            <w:r w:rsidR="00FC6CDC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ü</w:t>
            </w:r>
            <w:r w:rsidR="00FC6CDC">
              <w:rPr>
                <w:rFonts w:ascii="Arial" w:hAnsi="Arial" w:cs="Arial"/>
                <w:sz w:val="22"/>
                <w:szCs w:val="22"/>
              </w:rPr>
              <w:t xml:space="preserve">ber einen Zeitraum von 15-30min, </w:t>
            </w:r>
            <w:proofErr w:type="spellStart"/>
            <w:r w:rsidR="00FC6CDC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FC6CD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FC6CDC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FC6CDC">
              <w:rPr>
                <w:rFonts w:ascii="Arial" w:hAnsi="Arial" w:cs="Arial"/>
                <w:sz w:val="22"/>
                <w:szCs w:val="22"/>
              </w:rPr>
              <w:t xml:space="preserve"> über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60min</w:t>
            </w:r>
            <w:r w:rsidR="008722CA" w:rsidRPr="00A832D2">
              <w:rPr>
                <w:rFonts w:ascii="Arial" w:hAnsi="Arial" w:cs="Arial"/>
                <w:sz w:val="22"/>
                <w:szCs w:val="22"/>
              </w:rPr>
              <w:t xml:space="preserve">. Beide Produkte werden als Pulver geliefert, so dass für </w:t>
            </w:r>
            <w:r w:rsidR="00FC6CDC">
              <w:rPr>
                <w:rFonts w:ascii="Arial" w:hAnsi="Arial" w:cs="Arial"/>
                <w:sz w:val="22"/>
                <w:szCs w:val="22"/>
              </w:rPr>
              <w:t>die Rekonstitution</w:t>
            </w:r>
            <w:r w:rsidR="008722CA" w:rsidRPr="00A832D2">
              <w:rPr>
                <w:rFonts w:ascii="Arial" w:hAnsi="Arial" w:cs="Arial"/>
                <w:sz w:val="22"/>
                <w:szCs w:val="22"/>
              </w:rPr>
              <w:t xml:space="preserve"> der Lösung die gleichen Materialien benötigt werden;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es</w:t>
            </w:r>
            <w:r w:rsidR="00146505" w:rsidRPr="00A832D2">
              <w:rPr>
                <w:rFonts w:ascii="Arial" w:hAnsi="Arial" w:cs="Arial"/>
                <w:sz w:val="22"/>
                <w:szCs w:val="22"/>
              </w:rPr>
              <w:t xml:space="preserve"> entstehen </w:t>
            </w:r>
            <w:r w:rsidR="002C1C86" w:rsidRPr="00A832D2">
              <w:rPr>
                <w:rFonts w:ascii="Arial" w:hAnsi="Arial" w:cs="Arial"/>
                <w:sz w:val="22"/>
                <w:szCs w:val="22"/>
              </w:rPr>
              <w:t xml:space="preserve">daher </w:t>
            </w:r>
            <w:r w:rsidR="00146505" w:rsidRPr="00A832D2">
              <w:rPr>
                <w:rFonts w:ascii="Arial" w:hAnsi="Arial" w:cs="Arial"/>
                <w:sz w:val="22"/>
                <w:szCs w:val="22"/>
              </w:rPr>
              <w:t xml:space="preserve">keine Mehrkosten aufgrund der Applikation. </w:t>
            </w:r>
            <w:r w:rsidR="001810AC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853EE" w:rsidRPr="00A832D2" w:rsidRDefault="004853EE" w:rsidP="005638EB">
            <w:pPr>
              <w:rPr>
                <w:rFonts w:ascii="Arial" w:hAnsi="Arial" w:cs="Arial"/>
                <w:sz w:val="22"/>
                <w:szCs w:val="22"/>
              </w:rPr>
            </w:pPr>
          </w:p>
          <w:p w:rsidR="001810AC" w:rsidRPr="00A832D2" w:rsidRDefault="001810AC" w:rsidP="005638EB">
            <w:pPr>
              <w:rPr>
                <w:rFonts w:ascii="Arial" w:hAnsi="Arial" w:cs="Arial"/>
                <w:sz w:val="22"/>
                <w:szCs w:val="22"/>
              </w:rPr>
            </w:pPr>
          </w:p>
          <w:p w:rsidR="0040254A" w:rsidRPr="00A832D2" w:rsidRDefault="0040254A" w:rsidP="005638E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832D2">
              <w:rPr>
                <w:rFonts w:ascii="Arial" w:hAnsi="Arial" w:cs="Arial"/>
                <w:sz w:val="22"/>
                <w:szCs w:val="22"/>
                <w:u w:val="single"/>
              </w:rPr>
              <w:t>Personalkosten:</w:t>
            </w:r>
          </w:p>
          <w:p w:rsidR="008E6675" w:rsidRPr="00A832D2" w:rsidRDefault="002C1C86" w:rsidP="001810A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19F" w:rsidRPr="00A832D2">
              <w:rPr>
                <w:rFonts w:ascii="Arial" w:hAnsi="Arial" w:cs="Arial"/>
                <w:sz w:val="22"/>
                <w:szCs w:val="22"/>
              </w:rPr>
              <w:t xml:space="preserve">wird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als Pulver bezogen und muss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rekonstituiert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werden</w:t>
            </w:r>
            <w:r w:rsidR="008F019F" w:rsidRPr="00A832D2">
              <w:rPr>
                <w:rFonts w:ascii="Arial" w:hAnsi="Arial" w:cs="Arial"/>
                <w:sz w:val="22"/>
                <w:szCs w:val="22"/>
              </w:rPr>
              <w:t>. Z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usätzliche Personalkosten </w:t>
            </w:r>
            <w:r w:rsidR="008F019F" w:rsidRPr="00A832D2">
              <w:rPr>
                <w:rFonts w:ascii="Arial" w:hAnsi="Arial" w:cs="Arial"/>
                <w:sz w:val="22"/>
                <w:szCs w:val="22"/>
              </w:rPr>
              <w:t>gegenüber der Therapie</w:t>
            </w:r>
            <w:r w:rsidR="00540F92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019F" w:rsidRPr="00A832D2">
              <w:rPr>
                <w:rFonts w:ascii="Arial" w:hAnsi="Arial" w:cs="Arial"/>
                <w:sz w:val="22"/>
                <w:szCs w:val="22"/>
              </w:rPr>
              <w:t xml:space="preserve">mit </w:t>
            </w:r>
            <w:proofErr w:type="spellStart"/>
            <w:r w:rsidR="008F019F" w:rsidRPr="00A832D2">
              <w:rPr>
                <w:rFonts w:ascii="Arial" w:hAnsi="Arial" w:cs="Arial"/>
                <w:sz w:val="22"/>
                <w:szCs w:val="22"/>
              </w:rPr>
              <w:t>Meropenem</w:t>
            </w:r>
            <w:proofErr w:type="spellEnd"/>
            <w:r w:rsidR="008F019F" w:rsidRPr="00A832D2">
              <w:rPr>
                <w:rFonts w:ascii="Arial" w:hAnsi="Arial" w:cs="Arial"/>
                <w:sz w:val="22"/>
                <w:szCs w:val="22"/>
              </w:rPr>
              <w:t xml:space="preserve"> fallen nicht an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. Da die </w:t>
            </w:r>
            <w:r w:rsidRPr="00A832D2">
              <w:rPr>
                <w:rFonts w:ascii="Arial" w:hAnsi="Arial" w:cs="Arial"/>
                <w:sz w:val="22"/>
                <w:szCs w:val="22"/>
              </w:rPr>
              <w:lastRenderedPageBreak/>
              <w:t xml:space="preserve">Patienten stationär behandelt werden, wird davon ausgegangen, dass die etwas längere Infusionszeit von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(60min im Vergleich zu 15-30in) keine nennenswert höheren</w:t>
            </w:r>
            <w:r w:rsidR="00B52581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32D2">
              <w:rPr>
                <w:rFonts w:ascii="Arial" w:hAnsi="Arial" w:cs="Arial"/>
                <w:sz w:val="22"/>
                <w:szCs w:val="22"/>
              </w:rPr>
              <w:t>Personalkosten verursacht</w:t>
            </w:r>
            <w:r w:rsidR="001810AC" w:rsidRPr="00A832D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4AC5" w:rsidRPr="00A832D2" w:rsidRDefault="00EB4AC5" w:rsidP="001810AC">
            <w:pPr>
              <w:rPr>
                <w:rFonts w:ascii="Arial" w:hAnsi="Arial" w:cs="Arial"/>
                <w:sz w:val="22"/>
                <w:szCs w:val="22"/>
              </w:rPr>
            </w:pPr>
          </w:p>
          <w:p w:rsidR="002D5175" w:rsidRPr="00A832D2" w:rsidRDefault="002D5175" w:rsidP="008F019F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Somit ergeben sich für die Behandlung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keine Mehrkosten im Bereich der Personalkosten.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b/>
                <w:sz w:val="22"/>
                <w:szCs w:val="22"/>
              </w:rPr>
              <w:t>4.2 Welche DRG(s) ist/sind am häufigsten von dieser Methode betroffen?</w:t>
            </w:r>
          </w:p>
        </w:tc>
      </w:tr>
      <w:tr w:rsidR="008E6675" w:rsidRPr="00A832D2">
        <w:tc>
          <w:tcPr>
            <w:tcW w:w="9212" w:type="dxa"/>
          </w:tcPr>
          <w:p w:rsidR="008E4F67" w:rsidRPr="00163FD1" w:rsidRDefault="004937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FD1">
              <w:rPr>
                <w:rFonts w:ascii="Arial" w:hAnsi="Arial" w:cs="Arial"/>
                <w:sz w:val="22"/>
                <w:szCs w:val="22"/>
                <w:lang w:val="en-GB"/>
              </w:rPr>
              <w:t>L63F</w:t>
            </w:r>
          </w:p>
          <w:p w:rsidR="008E4F67" w:rsidRPr="00163FD1" w:rsidRDefault="004937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FD1">
              <w:rPr>
                <w:rFonts w:ascii="Arial" w:hAnsi="Arial" w:cs="Arial"/>
                <w:sz w:val="22"/>
                <w:szCs w:val="22"/>
                <w:lang w:val="en-GB"/>
              </w:rPr>
              <w:t>G22C</w:t>
            </w:r>
          </w:p>
          <w:p w:rsidR="008E4F67" w:rsidRPr="00163FD1" w:rsidRDefault="004937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FD1">
              <w:rPr>
                <w:rFonts w:ascii="Arial" w:hAnsi="Arial" w:cs="Arial"/>
                <w:sz w:val="22"/>
                <w:szCs w:val="22"/>
                <w:lang w:val="en-GB"/>
              </w:rPr>
              <w:t xml:space="preserve">G18B </w:t>
            </w:r>
          </w:p>
          <w:p w:rsidR="008E4F67" w:rsidRPr="00163FD1" w:rsidRDefault="004937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FD1">
              <w:rPr>
                <w:rFonts w:ascii="Arial" w:hAnsi="Arial" w:cs="Arial"/>
                <w:sz w:val="22"/>
                <w:szCs w:val="22"/>
                <w:lang w:val="en-GB"/>
              </w:rPr>
              <w:t xml:space="preserve">H08B </w:t>
            </w:r>
          </w:p>
          <w:p w:rsidR="008E4F67" w:rsidRPr="00163FD1" w:rsidRDefault="004937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FD1">
              <w:rPr>
                <w:rFonts w:ascii="Arial" w:hAnsi="Arial" w:cs="Arial"/>
                <w:sz w:val="22"/>
                <w:szCs w:val="22"/>
                <w:lang w:val="en-GB"/>
              </w:rPr>
              <w:t xml:space="preserve">G67B </w:t>
            </w:r>
          </w:p>
          <w:p w:rsidR="008E4F67" w:rsidRPr="00163FD1" w:rsidRDefault="004937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FD1">
              <w:rPr>
                <w:rFonts w:ascii="Arial" w:hAnsi="Arial" w:cs="Arial"/>
                <w:sz w:val="22"/>
                <w:szCs w:val="22"/>
                <w:lang w:val="en-GB"/>
              </w:rPr>
              <w:t xml:space="preserve">G18C </w:t>
            </w:r>
          </w:p>
          <w:p w:rsidR="008E4F67" w:rsidRPr="00163FD1" w:rsidRDefault="004937B0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3FD1">
              <w:rPr>
                <w:rFonts w:ascii="Arial" w:hAnsi="Arial" w:cs="Arial"/>
                <w:sz w:val="22"/>
                <w:szCs w:val="22"/>
                <w:lang w:val="en-GB"/>
              </w:rPr>
              <w:t>G02A</w:t>
            </w:r>
          </w:p>
          <w:p w:rsidR="008E4F67" w:rsidRDefault="004937B0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L63D</w:t>
            </w:r>
            <w:r w:rsidR="00393B20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E4F67" w:rsidRDefault="00393B20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G07C </w:t>
            </w:r>
          </w:p>
          <w:p w:rsidR="008E6675" w:rsidRPr="00A832D2" w:rsidRDefault="00393B20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T60E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E6675" w:rsidRPr="00A832D2">
        <w:tc>
          <w:tcPr>
            <w:tcW w:w="9212" w:type="dxa"/>
          </w:tcPr>
          <w:p w:rsidR="008E6675" w:rsidRPr="00A832D2" w:rsidRDefault="008E6675" w:rsidP="005638EB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4</w:t>
            </w:r>
            <w:r w:rsidRPr="00A832D2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proofErr w:type="gramStart"/>
            <w:r w:rsidRPr="00A832D2">
              <w:rPr>
                <w:rFonts w:ascii="Arial" w:hAnsi="Arial" w:cs="Arial"/>
                <w:b/>
                <w:sz w:val="22"/>
                <w:szCs w:val="22"/>
              </w:rPr>
              <w:t>Warum ist</w:t>
            </w:r>
            <w:proofErr w:type="gramEnd"/>
            <w:r w:rsidRPr="00A832D2">
              <w:rPr>
                <w:rFonts w:ascii="Arial" w:hAnsi="Arial" w:cs="Arial"/>
                <w:b/>
                <w:sz w:val="22"/>
                <w:szCs w:val="22"/>
              </w:rPr>
              <w:t xml:space="preserve"> diese Methode aus Ihrer Sicht derzeit im G-DRG-System nicht sachgerecht abgebildet?</w:t>
            </w:r>
          </w:p>
        </w:tc>
      </w:tr>
      <w:tr w:rsidR="008E6675" w:rsidRPr="00A832D2">
        <w:tc>
          <w:tcPr>
            <w:tcW w:w="9212" w:type="dxa"/>
          </w:tcPr>
          <w:p w:rsidR="00D36458" w:rsidRPr="00A832D2" w:rsidRDefault="0030630E" w:rsidP="00025A10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Bei einer durchschnittlichen Behandlungsdauer von 7 Tagen ohne Kombination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Metronidaz</w:t>
            </w:r>
            <w:r w:rsidR="00E400A8" w:rsidRPr="00A832D2">
              <w:rPr>
                <w:rFonts w:ascii="Arial" w:hAnsi="Arial" w:cs="Arial"/>
                <w:sz w:val="22"/>
                <w:szCs w:val="22"/>
              </w:rPr>
              <w:t>ol</w:t>
            </w:r>
            <w:proofErr w:type="spellEnd"/>
            <w:r w:rsidR="00E400A8" w:rsidRPr="00A832D2">
              <w:rPr>
                <w:rFonts w:ascii="Arial" w:hAnsi="Arial" w:cs="Arial"/>
                <w:sz w:val="22"/>
                <w:szCs w:val="22"/>
              </w:rPr>
              <w:t xml:space="preserve"> betragen die Kosten </w:t>
            </w:r>
            <w:r w:rsidR="0004077A">
              <w:rPr>
                <w:rFonts w:ascii="Arial" w:hAnsi="Arial" w:cs="Arial"/>
                <w:sz w:val="22"/>
                <w:szCs w:val="22"/>
              </w:rPr>
              <w:t xml:space="preserve">laut Angaben des Herstellers zzgl. 19% </w:t>
            </w:r>
            <w:proofErr w:type="spellStart"/>
            <w:r w:rsidR="0004077A">
              <w:rPr>
                <w:rFonts w:ascii="Arial" w:hAnsi="Arial" w:cs="Arial"/>
                <w:sz w:val="22"/>
                <w:szCs w:val="22"/>
              </w:rPr>
              <w:t>MwSt</w:t>
            </w:r>
            <w:proofErr w:type="spellEnd"/>
            <w:r w:rsidR="00040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0A8" w:rsidRPr="00A832D2">
              <w:rPr>
                <w:rFonts w:ascii="Arial" w:hAnsi="Arial" w:cs="Arial"/>
                <w:sz w:val="22"/>
                <w:szCs w:val="22"/>
              </w:rPr>
              <w:t>der Thera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pie mit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8D19BA">
              <w:rPr>
                <w:rFonts w:ascii="Arial" w:hAnsi="Arial" w:cs="Arial"/>
                <w:sz w:val="22"/>
                <w:szCs w:val="22"/>
              </w:rPr>
              <w:t>.</w:t>
            </w:r>
            <w:r w:rsidR="0004077A">
              <w:rPr>
                <w:rFonts w:ascii="Arial" w:hAnsi="Arial" w:cs="Arial"/>
                <w:sz w:val="22"/>
                <w:szCs w:val="22"/>
              </w:rPr>
              <w:t>291€</w:t>
            </w:r>
            <w:r w:rsidRPr="00A832D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630E" w:rsidRDefault="0030630E" w:rsidP="00025A10">
            <w:pPr>
              <w:rPr>
                <w:rFonts w:ascii="Arial" w:hAnsi="Arial" w:cs="Arial"/>
                <w:sz w:val="22"/>
                <w:szCs w:val="22"/>
              </w:rPr>
            </w:pPr>
          </w:p>
          <w:p w:rsidR="008E4F67" w:rsidRDefault="008E4F67" w:rsidP="00025A10">
            <w:pPr>
              <w:rPr>
                <w:rFonts w:ascii="Arial" w:hAnsi="Arial" w:cs="Arial"/>
                <w:sz w:val="22"/>
                <w:szCs w:val="22"/>
              </w:rPr>
            </w:pPr>
            <w:r w:rsidRPr="008E4F67">
              <w:rPr>
                <w:rFonts w:ascii="Arial" w:hAnsi="Arial" w:cs="Arial"/>
                <w:sz w:val="22"/>
                <w:szCs w:val="22"/>
              </w:rPr>
              <w:t>Potenziell kommen für die o.g. Diagnosen</w:t>
            </w:r>
            <w:r w:rsidR="005B66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650" w:rsidRPr="006C1A3D">
              <w:rPr>
                <w:rFonts w:ascii="Arial" w:hAnsi="Arial" w:cs="Arial"/>
                <w:sz w:val="22"/>
                <w:szCs w:val="22"/>
              </w:rPr>
              <w:t>als Haupt- bzw. Nebendiagnose insgesamt</w:t>
            </w:r>
            <w:r w:rsidR="00040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4F67">
              <w:rPr>
                <w:rFonts w:ascii="Arial" w:hAnsi="Arial" w:cs="Arial"/>
                <w:sz w:val="22"/>
                <w:szCs w:val="22"/>
              </w:rPr>
              <w:t>461 Basis DRGs bzw</w:t>
            </w:r>
            <w:r w:rsidR="005B6650">
              <w:rPr>
                <w:rFonts w:ascii="Arial" w:hAnsi="Arial" w:cs="Arial"/>
                <w:sz w:val="22"/>
                <w:szCs w:val="22"/>
              </w:rPr>
              <w:t>.</w:t>
            </w:r>
            <w:r w:rsidRPr="008E4F67">
              <w:rPr>
                <w:rFonts w:ascii="Arial" w:hAnsi="Arial" w:cs="Arial"/>
                <w:sz w:val="22"/>
                <w:szCs w:val="22"/>
              </w:rPr>
              <w:t xml:space="preserve"> 864 DRGs in Frage</w:t>
            </w:r>
            <w:r w:rsidR="00F530E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1A3D">
              <w:rPr>
                <w:rFonts w:ascii="Arial" w:hAnsi="Arial" w:cs="Arial"/>
                <w:sz w:val="22"/>
                <w:szCs w:val="22"/>
              </w:rPr>
              <w:t xml:space="preserve">Datenveröffentlichung </w:t>
            </w:r>
            <w:r w:rsidR="00F530E1">
              <w:rPr>
                <w:rFonts w:ascii="Arial" w:hAnsi="Arial" w:cs="Arial"/>
                <w:sz w:val="22"/>
                <w:szCs w:val="22"/>
              </w:rPr>
              <w:t>gemäß §21</w:t>
            </w:r>
            <w:r w:rsidR="006C1A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1A3D">
              <w:rPr>
                <w:rFonts w:ascii="Arial" w:hAnsi="Arial" w:cs="Arial"/>
                <w:sz w:val="22"/>
                <w:szCs w:val="22"/>
              </w:rPr>
              <w:t>KHEntgG</w:t>
            </w:r>
            <w:proofErr w:type="spellEnd"/>
            <w:r w:rsidR="006C1A3D">
              <w:rPr>
                <w:rFonts w:ascii="Arial" w:hAnsi="Arial" w:cs="Arial"/>
                <w:sz w:val="22"/>
                <w:szCs w:val="22"/>
              </w:rPr>
              <w:t xml:space="preserve"> Version 2013/2014</w:t>
            </w:r>
            <w:r w:rsidR="00F530E1">
              <w:rPr>
                <w:rFonts w:ascii="Arial" w:hAnsi="Arial" w:cs="Arial"/>
                <w:sz w:val="22"/>
                <w:szCs w:val="22"/>
              </w:rPr>
              <w:t>)</w:t>
            </w:r>
            <w:r w:rsidRPr="008E4F67">
              <w:rPr>
                <w:rFonts w:ascii="Arial" w:hAnsi="Arial" w:cs="Arial"/>
                <w:sz w:val="22"/>
                <w:szCs w:val="22"/>
              </w:rPr>
              <w:t>. Dabei sind die zehn häufigsten DRGs: L63F (&gt;57.000 Fälle), G22C (&gt;16.000 Fälle), G18B (&gt;8.000 Fälle), H08B (&gt;7.000 Fälle), G67B (&gt;7.000 Fälle), G18C (&gt;6.000 Fälle), G02A (&gt;5.000 Fälle), L63D (&gt;5.000 Fälle), G07C (&gt;5.000 Fälle), T60E (&gt;5.000 Fälle)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E4F67" w:rsidRPr="00A832D2" w:rsidRDefault="008E4F67" w:rsidP="00025A10">
            <w:pPr>
              <w:rPr>
                <w:rFonts w:ascii="Arial" w:hAnsi="Arial" w:cs="Arial"/>
                <w:sz w:val="22"/>
                <w:szCs w:val="22"/>
              </w:rPr>
            </w:pPr>
          </w:p>
          <w:p w:rsidR="00D36458" w:rsidRPr="00A832D2" w:rsidRDefault="00D36458" w:rsidP="00312387">
            <w:pPr>
              <w:rPr>
                <w:rFonts w:ascii="Arial" w:hAnsi="Arial" w:cs="Arial"/>
                <w:sz w:val="22"/>
                <w:szCs w:val="22"/>
              </w:rPr>
            </w:pPr>
            <w:r w:rsidRPr="006C1A3D">
              <w:rPr>
                <w:rFonts w:ascii="Arial" w:hAnsi="Arial" w:cs="Arial"/>
                <w:sz w:val="22"/>
                <w:szCs w:val="22"/>
              </w:rPr>
              <w:t xml:space="preserve">Der durchschnittliche, nach Häufigkeit der Fälle gewichtete, </w:t>
            </w:r>
            <w:r w:rsidR="00CA2EA3" w:rsidRPr="006C1A3D">
              <w:rPr>
                <w:rFonts w:ascii="Arial" w:hAnsi="Arial" w:cs="Arial"/>
                <w:sz w:val="22"/>
                <w:szCs w:val="22"/>
              </w:rPr>
              <w:t>Sachkosten</w:t>
            </w:r>
            <w:r w:rsidR="009A62AE" w:rsidRPr="006C1A3D">
              <w:rPr>
                <w:rFonts w:ascii="Arial" w:hAnsi="Arial" w:cs="Arial"/>
                <w:sz w:val="22"/>
                <w:szCs w:val="22"/>
              </w:rPr>
              <w:t>anteil</w:t>
            </w:r>
            <w:r w:rsidR="005B6650" w:rsidRPr="006C1A3D">
              <w:rPr>
                <w:rFonts w:ascii="Arial" w:hAnsi="Arial" w:cs="Arial"/>
                <w:sz w:val="22"/>
                <w:szCs w:val="22"/>
              </w:rPr>
              <w:t xml:space="preserve"> (Kostenstelle 4a und 4b)</w:t>
            </w:r>
            <w:r w:rsidRPr="006C1A3D">
              <w:rPr>
                <w:rFonts w:ascii="Arial" w:hAnsi="Arial" w:cs="Arial"/>
                <w:sz w:val="22"/>
                <w:szCs w:val="22"/>
              </w:rPr>
              <w:t xml:space="preserve"> der DRGs</w:t>
            </w:r>
            <w:r w:rsidR="00CA2EA3" w:rsidRPr="006C1A3D">
              <w:rPr>
                <w:rFonts w:ascii="Arial" w:hAnsi="Arial" w:cs="Arial"/>
                <w:sz w:val="22"/>
                <w:szCs w:val="22"/>
              </w:rPr>
              <w:t xml:space="preserve"> in 2013</w:t>
            </w:r>
            <w:r w:rsidR="005B6650" w:rsidRPr="006C1A3D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B6650" w:rsidRPr="006C1A3D">
              <w:rPr>
                <w:rFonts w:ascii="Arial" w:hAnsi="Arial" w:cs="Arial"/>
                <w:sz w:val="22"/>
                <w:szCs w:val="22"/>
              </w:rPr>
              <w:t>InEK</w:t>
            </w:r>
            <w:proofErr w:type="spellEnd"/>
            <w:r w:rsidR="005B6650" w:rsidRPr="006C1A3D">
              <w:rPr>
                <w:rFonts w:ascii="Arial" w:hAnsi="Arial" w:cs="Arial"/>
                <w:sz w:val="22"/>
                <w:szCs w:val="22"/>
              </w:rPr>
              <w:t>-Reportbrowser 201</w:t>
            </w:r>
            <w:r w:rsidR="006C1A3D" w:rsidRPr="006C1A3D">
              <w:rPr>
                <w:rFonts w:ascii="Arial" w:hAnsi="Arial" w:cs="Arial"/>
                <w:sz w:val="22"/>
                <w:szCs w:val="22"/>
              </w:rPr>
              <w:t>2</w:t>
            </w:r>
            <w:r w:rsidR="005B6650" w:rsidRPr="006C1A3D">
              <w:rPr>
                <w:rFonts w:ascii="Arial" w:hAnsi="Arial" w:cs="Arial"/>
                <w:sz w:val="22"/>
                <w:szCs w:val="22"/>
              </w:rPr>
              <w:t>/201</w:t>
            </w:r>
            <w:r w:rsidR="006C1A3D" w:rsidRPr="006C1A3D">
              <w:rPr>
                <w:rFonts w:ascii="Arial" w:hAnsi="Arial" w:cs="Arial"/>
                <w:sz w:val="22"/>
                <w:szCs w:val="22"/>
              </w:rPr>
              <w:t>4</w:t>
            </w:r>
            <w:r w:rsidR="005B6650" w:rsidRPr="006C1A3D">
              <w:rPr>
                <w:rFonts w:ascii="Arial" w:hAnsi="Arial" w:cs="Arial"/>
                <w:sz w:val="22"/>
                <w:szCs w:val="22"/>
              </w:rPr>
              <w:t>)</w:t>
            </w:r>
            <w:r w:rsidR="00CA2EA3" w:rsidRPr="006C1A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1A3D">
              <w:rPr>
                <w:rFonts w:ascii="Arial" w:hAnsi="Arial" w:cs="Arial"/>
                <w:sz w:val="22"/>
                <w:szCs w:val="22"/>
              </w:rPr>
              <w:t xml:space="preserve">mit einer für </w:t>
            </w:r>
            <w:proofErr w:type="spellStart"/>
            <w:r w:rsidRPr="006C1A3D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6C1A3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6C1A3D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6C1A3D">
              <w:rPr>
                <w:rFonts w:ascii="Arial" w:hAnsi="Arial" w:cs="Arial"/>
                <w:sz w:val="22"/>
                <w:szCs w:val="22"/>
              </w:rPr>
              <w:t xml:space="preserve"> relevanten Haupt- oder Nebendia</w:t>
            </w:r>
            <w:r w:rsidR="001748C6" w:rsidRPr="006C1A3D">
              <w:rPr>
                <w:rFonts w:ascii="Arial" w:hAnsi="Arial" w:cs="Arial"/>
                <w:sz w:val="22"/>
                <w:szCs w:val="22"/>
              </w:rPr>
              <w:t>gnose beträgt 268</w:t>
            </w:r>
            <w:r w:rsidRPr="006C1A3D">
              <w:rPr>
                <w:rFonts w:ascii="Arial" w:hAnsi="Arial" w:cs="Arial"/>
                <w:sz w:val="22"/>
                <w:szCs w:val="22"/>
              </w:rPr>
              <w:t>€, für die DRGs mit den zehn häufigsten relevanten Haupt- und Nebendiagnosen</w:t>
            </w:r>
            <w:r w:rsidR="00A4091D" w:rsidRPr="006C1A3D">
              <w:rPr>
                <w:rFonts w:ascii="Arial" w:hAnsi="Arial" w:cs="Arial"/>
                <w:sz w:val="22"/>
                <w:szCs w:val="22"/>
              </w:rPr>
              <w:t>, welche 41% der relevanten Haupt- und Nebendiagnosen abdeckte</w:t>
            </w:r>
            <w:r w:rsidR="008D19BA" w:rsidRPr="006C1A3D">
              <w:rPr>
                <w:rFonts w:ascii="Arial" w:hAnsi="Arial" w:cs="Arial"/>
                <w:sz w:val="22"/>
                <w:szCs w:val="22"/>
              </w:rPr>
              <w:t>n</w:t>
            </w:r>
            <w:r w:rsidR="00A4091D" w:rsidRPr="006C1A3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1A3D">
              <w:rPr>
                <w:rFonts w:ascii="Arial" w:hAnsi="Arial" w:cs="Arial"/>
                <w:sz w:val="22"/>
                <w:szCs w:val="22"/>
              </w:rPr>
              <w:t xml:space="preserve">war der durchschnittliche, nach Häufigkeit der Fälle gewichtete </w:t>
            </w:r>
            <w:r w:rsidR="008D19BA" w:rsidRPr="006C1A3D">
              <w:rPr>
                <w:rFonts w:ascii="Arial" w:hAnsi="Arial" w:cs="Arial"/>
                <w:sz w:val="22"/>
                <w:szCs w:val="22"/>
              </w:rPr>
              <w:t>Kosten</w:t>
            </w:r>
            <w:r w:rsidRPr="006C1A3D">
              <w:rPr>
                <w:rFonts w:ascii="Arial" w:hAnsi="Arial" w:cs="Arial"/>
                <w:sz w:val="22"/>
                <w:szCs w:val="22"/>
              </w:rPr>
              <w:t>betrag sogar nur 91€</w:t>
            </w:r>
            <w:r w:rsidR="00A4091D" w:rsidRPr="006C1A3D">
              <w:rPr>
                <w:rFonts w:ascii="Arial" w:hAnsi="Arial" w:cs="Arial"/>
                <w:sz w:val="22"/>
                <w:szCs w:val="22"/>
              </w:rPr>
              <w:t>.</w:t>
            </w:r>
            <w:r w:rsidR="00FE196A" w:rsidRPr="006C1A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196A" w:rsidRPr="00A832D2" w:rsidRDefault="00FE196A" w:rsidP="00025A10">
            <w:pPr>
              <w:rPr>
                <w:rFonts w:ascii="Arial" w:hAnsi="Arial" w:cs="Arial"/>
                <w:sz w:val="22"/>
                <w:szCs w:val="22"/>
              </w:rPr>
            </w:pPr>
          </w:p>
          <w:p w:rsidR="00CA0301" w:rsidRPr="00A832D2" w:rsidRDefault="00A4091D" w:rsidP="00CA0301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Unabhängig von der Indikation, für welche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eingesetzt wird, bedeutet </w:t>
            </w:r>
            <w:proofErr w:type="gramStart"/>
            <w:r w:rsidRPr="00A832D2">
              <w:rPr>
                <w:rFonts w:ascii="Arial" w:hAnsi="Arial" w:cs="Arial"/>
                <w:sz w:val="22"/>
                <w:szCs w:val="22"/>
              </w:rPr>
              <w:t>dies</w:t>
            </w:r>
            <w:proofErr w:type="gramEnd"/>
            <w:r w:rsidRPr="00A832D2">
              <w:rPr>
                <w:rFonts w:ascii="Arial" w:hAnsi="Arial" w:cs="Arial"/>
                <w:sz w:val="22"/>
                <w:szCs w:val="22"/>
              </w:rPr>
              <w:t xml:space="preserve"> eine signifikante Unterfinanzierung der neuen Behandlungsmethode.</w:t>
            </w:r>
            <w:r w:rsidR="00CA2EA3" w:rsidRPr="00A832D2">
              <w:rPr>
                <w:rFonts w:ascii="Arial" w:hAnsi="Arial" w:cs="Arial"/>
                <w:sz w:val="22"/>
                <w:szCs w:val="22"/>
              </w:rPr>
              <w:t xml:space="preserve"> Aufgrund der Tatsache, dass es sich </w:t>
            </w:r>
            <w:r w:rsidR="002D2156" w:rsidRPr="00A832D2">
              <w:rPr>
                <w:rFonts w:ascii="Arial" w:hAnsi="Arial" w:cs="Arial"/>
                <w:sz w:val="22"/>
                <w:szCs w:val="22"/>
              </w:rPr>
              <w:t xml:space="preserve">mit Ausnahme einiger weniger DRGs </w:t>
            </w:r>
            <w:r w:rsidR="00CA2EA3" w:rsidRPr="00A832D2">
              <w:rPr>
                <w:rFonts w:ascii="Arial" w:hAnsi="Arial" w:cs="Arial"/>
                <w:sz w:val="22"/>
                <w:szCs w:val="22"/>
              </w:rPr>
              <w:t xml:space="preserve">um insgesamt sehr gering bewertete DRGs handelt, sind allein die Behandlungskosten für </w:t>
            </w:r>
            <w:proofErr w:type="spellStart"/>
            <w:r w:rsidR="00CA2EA3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CA2EA3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CA2EA3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CA2EA3" w:rsidRPr="00A832D2">
              <w:rPr>
                <w:rFonts w:ascii="Arial" w:hAnsi="Arial" w:cs="Arial"/>
                <w:sz w:val="22"/>
                <w:szCs w:val="22"/>
              </w:rPr>
              <w:t xml:space="preserve"> (also ohn</w:t>
            </w:r>
            <w:r w:rsidR="002D2156" w:rsidRPr="00A832D2">
              <w:rPr>
                <w:rFonts w:ascii="Arial" w:hAnsi="Arial" w:cs="Arial"/>
                <w:sz w:val="22"/>
                <w:szCs w:val="22"/>
              </w:rPr>
              <w:t>e Berücksichtigung anderer eventu</w:t>
            </w:r>
            <w:r w:rsidR="00CA2EA3" w:rsidRPr="00A832D2">
              <w:rPr>
                <w:rFonts w:ascii="Arial" w:hAnsi="Arial" w:cs="Arial"/>
                <w:sz w:val="22"/>
                <w:szCs w:val="22"/>
              </w:rPr>
              <w:t xml:space="preserve">ell ebenfalls auftretender Sachkosten) </w:t>
            </w:r>
            <w:r w:rsidR="001748C6" w:rsidRPr="00A832D2">
              <w:rPr>
                <w:rFonts w:ascii="Arial" w:hAnsi="Arial" w:cs="Arial"/>
                <w:sz w:val="22"/>
                <w:szCs w:val="22"/>
              </w:rPr>
              <w:t>um 8</w:t>
            </w:r>
            <w:r w:rsidR="00BC3A54" w:rsidRPr="00A832D2">
              <w:rPr>
                <w:rFonts w:ascii="Arial" w:hAnsi="Arial" w:cs="Arial"/>
                <w:sz w:val="22"/>
                <w:szCs w:val="22"/>
              </w:rPr>
              <w:t>55</w:t>
            </w:r>
            <w:r w:rsidR="002D2156" w:rsidRPr="00A832D2">
              <w:rPr>
                <w:rFonts w:ascii="Arial" w:hAnsi="Arial" w:cs="Arial"/>
                <w:sz w:val="22"/>
                <w:szCs w:val="22"/>
              </w:rPr>
              <w:t>% höher als der durchschnittliche, nach Häufigkeit der Fälle gewi</w:t>
            </w:r>
            <w:r w:rsidR="001748C6" w:rsidRPr="00A832D2">
              <w:rPr>
                <w:rFonts w:ascii="Arial" w:hAnsi="Arial" w:cs="Arial"/>
                <w:sz w:val="22"/>
                <w:szCs w:val="22"/>
              </w:rPr>
              <w:t xml:space="preserve">chtete Erstattungsbetrag </w:t>
            </w:r>
            <w:r w:rsidR="002D5175" w:rsidRPr="00A832D2">
              <w:rPr>
                <w:rFonts w:ascii="Arial" w:hAnsi="Arial" w:cs="Arial"/>
                <w:sz w:val="22"/>
                <w:szCs w:val="22"/>
              </w:rPr>
              <w:t xml:space="preserve">der Sachkosten </w:t>
            </w:r>
            <w:r w:rsidR="001748C6" w:rsidRPr="00A832D2">
              <w:rPr>
                <w:rFonts w:ascii="Arial" w:hAnsi="Arial" w:cs="Arial"/>
                <w:sz w:val="22"/>
                <w:szCs w:val="22"/>
              </w:rPr>
              <w:t>von 268</w:t>
            </w:r>
            <w:r w:rsidR="002D2156" w:rsidRPr="00A832D2">
              <w:rPr>
                <w:rFonts w:ascii="Arial" w:hAnsi="Arial" w:cs="Arial"/>
                <w:sz w:val="22"/>
                <w:szCs w:val="22"/>
              </w:rPr>
              <w:t>€. F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>ür die zehn häufigsten Fälle</w:t>
            </w:r>
            <w:r w:rsidR="001748C6" w:rsidRPr="00A832D2">
              <w:rPr>
                <w:rFonts w:ascii="Arial" w:hAnsi="Arial" w:cs="Arial"/>
                <w:sz w:val="22"/>
                <w:szCs w:val="22"/>
              </w:rPr>
              <w:t xml:space="preserve"> liegt die Abweichung bei 2</w:t>
            </w:r>
            <w:r w:rsidR="0004077A">
              <w:rPr>
                <w:rFonts w:ascii="Arial" w:hAnsi="Arial" w:cs="Arial"/>
                <w:sz w:val="22"/>
                <w:szCs w:val="22"/>
              </w:rPr>
              <w:t>.</w:t>
            </w:r>
            <w:r w:rsidR="00BC3A54" w:rsidRPr="00A832D2">
              <w:rPr>
                <w:rFonts w:ascii="Arial" w:hAnsi="Arial" w:cs="Arial"/>
                <w:sz w:val="22"/>
                <w:szCs w:val="22"/>
              </w:rPr>
              <w:t>518</w:t>
            </w:r>
            <w:r w:rsidR="001748C6" w:rsidRPr="00A832D2">
              <w:rPr>
                <w:rFonts w:ascii="Arial" w:hAnsi="Arial" w:cs="Arial"/>
                <w:sz w:val="22"/>
                <w:szCs w:val="22"/>
              </w:rPr>
              <w:t>%.</w:t>
            </w:r>
            <w:r w:rsidR="009A62AE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3A54" w:rsidRPr="00A832D2">
              <w:rPr>
                <w:rFonts w:ascii="Arial" w:hAnsi="Arial" w:cs="Arial"/>
                <w:sz w:val="22"/>
                <w:szCs w:val="22"/>
              </w:rPr>
              <w:t>Selbst bei den minimal auftretenden Kosten von 1</w:t>
            </w:r>
            <w:r w:rsidR="00326E0A">
              <w:rPr>
                <w:rFonts w:ascii="Arial" w:hAnsi="Arial" w:cs="Arial"/>
                <w:sz w:val="22"/>
                <w:szCs w:val="22"/>
              </w:rPr>
              <w:t>.</w:t>
            </w:r>
            <w:r w:rsidR="00BC3A54" w:rsidRPr="00A832D2">
              <w:rPr>
                <w:rFonts w:ascii="Arial" w:hAnsi="Arial" w:cs="Arial"/>
                <w:sz w:val="22"/>
                <w:szCs w:val="22"/>
              </w:rPr>
              <w:t xml:space="preserve">309€ bei einer Behandlung mit </w:t>
            </w:r>
            <w:proofErr w:type="spellStart"/>
            <w:r w:rsidR="00BC3A54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BC3A54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C3A54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BC3A54" w:rsidRPr="00A832D2">
              <w:rPr>
                <w:rFonts w:ascii="Arial" w:hAnsi="Arial" w:cs="Arial"/>
                <w:sz w:val="22"/>
                <w:szCs w:val="22"/>
              </w:rPr>
              <w:t xml:space="preserve"> in der Monotherapie und einer Behandlungsdauer von 4 Tagen sind die Sachkosten für </w:t>
            </w:r>
            <w:proofErr w:type="spellStart"/>
            <w:r w:rsidR="00BC3A54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BC3A54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C3A54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BC3A54" w:rsidRPr="00A832D2">
              <w:rPr>
                <w:rFonts w:ascii="Arial" w:hAnsi="Arial" w:cs="Arial"/>
                <w:sz w:val="22"/>
                <w:szCs w:val="22"/>
              </w:rPr>
              <w:t xml:space="preserve"> um 488% höher als der durchschnittliche, nach Häufigkeit der Fälle gewichtete Erstattungsbetrag der Sachkosten. </w:t>
            </w:r>
            <w:r w:rsidR="009A62AE" w:rsidRPr="00A832D2">
              <w:rPr>
                <w:rFonts w:ascii="Arial" w:hAnsi="Arial" w:cs="Arial"/>
                <w:sz w:val="22"/>
                <w:szCs w:val="22"/>
              </w:rPr>
              <w:t>D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>aher trifft d</w:t>
            </w:r>
            <w:r w:rsidR="009A62AE" w:rsidRPr="00A832D2">
              <w:rPr>
                <w:rFonts w:ascii="Arial" w:hAnsi="Arial" w:cs="Arial"/>
                <w:sz w:val="22"/>
                <w:szCs w:val="22"/>
              </w:rPr>
              <w:t xml:space="preserve">ie vom </w:t>
            </w:r>
            <w:proofErr w:type="spellStart"/>
            <w:r w:rsidR="009A62AE" w:rsidRPr="00A832D2">
              <w:rPr>
                <w:rFonts w:ascii="Arial" w:hAnsi="Arial" w:cs="Arial"/>
                <w:sz w:val="22"/>
                <w:szCs w:val="22"/>
              </w:rPr>
              <w:t>InEK</w:t>
            </w:r>
            <w:proofErr w:type="spellEnd"/>
            <w:r w:rsidR="009A62AE" w:rsidRPr="00A832D2">
              <w:rPr>
                <w:rFonts w:ascii="Arial" w:hAnsi="Arial" w:cs="Arial"/>
                <w:sz w:val="22"/>
                <w:szCs w:val="22"/>
              </w:rPr>
              <w:t xml:space="preserve"> im Extremkostenbericht gemacht</w:t>
            </w:r>
            <w:r w:rsidR="00214A79" w:rsidRPr="00A832D2">
              <w:rPr>
                <w:rFonts w:ascii="Arial" w:hAnsi="Arial" w:cs="Arial"/>
                <w:sz w:val="22"/>
                <w:szCs w:val="22"/>
              </w:rPr>
              <w:t>e</w:t>
            </w:r>
            <w:r w:rsidR="009A62AE" w:rsidRPr="00A832D2">
              <w:rPr>
                <w:rFonts w:ascii="Arial" w:hAnsi="Arial" w:cs="Arial"/>
                <w:sz w:val="22"/>
                <w:szCs w:val="22"/>
              </w:rPr>
              <w:t xml:space="preserve"> Aussage, dass 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„Fälle mit besonders hohen Kosten für diese Substanzen [Antibiotika] oft in DRGs auftreten, in denen entweder sehr hohe 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lastRenderedPageBreak/>
              <w:t xml:space="preserve">Antibiotika-Kosten nicht untypisch sind oder die aus anderen Gründen so hohe Kosten (und Erlöse) pro Tag aufweisen, dass zusätzliche Kosten für Antibiotika nicht außerhalb der typischen Kostenstreuung liegen“ für </w:t>
            </w:r>
            <w:proofErr w:type="spellStart"/>
            <w:r w:rsidR="00471FF4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71FF4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nicht zu. Ein NUB Entgelt wäre in diesem Fall eine geeignete Methode</w:t>
            </w:r>
            <w:r w:rsidR="00540F92" w:rsidRPr="00A832D2">
              <w:rPr>
                <w:rFonts w:ascii="Arial" w:hAnsi="Arial" w:cs="Arial"/>
                <w:sz w:val="22"/>
                <w:szCs w:val="22"/>
              </w:rPr>
              <w:t>,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um die Unterfinanzierung, die über ein weites Spektrum von DRGs auftritt, auszuräumen.</w:t>
            </w:r>
          </w:p>
          <w:p w:rsidR="00B72310" w:rsidRPr="00A832D2" w:rsidRDefault="00B72310" w:rsidP="00CA0301">
            <w:pPr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</w:p>
          <w:p w:rsidR="00DA6CA2" w:rsidRPr="00A832D2" w:rsidRDefault="00B944A3" w:rsidP="00DA6CA2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>Hinzu kommt</w:t>
            </w:r>
            <w:r w:rsidR="00DA6CA2" w:rsidRPr="00A832D2">
              <w:rPr>
                <w:rFonts w:ascii="Arial" w:hAnsi="Arial" w:cs="Arial"/>
                <w:sz w:val="22"/>
                <w:szCs w:val="22"/>
              </w:rPr>
              <w:t xml:space="preserve">, dass gewisse Krankenhäuser mit bestimmten Problemkeimen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künftig </w:t>
            </w:r>
            <w:r w:rsidR="00DA6CA2" w:rsidRPr="00A832D2">
              <w:rPr>
                <w:rFonts w:ascii="Arial" w:hAnsi="Arial" w:cs="Arial"/>
                <w:sz w:val="22"/>
                <w:szCs w:val="22"/>
              </w:rPr>
              <w:t>vermehrt auf ein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neuartiges Antibiotikum zurück</w:t>
            </w:r>
            <w:r w:rsidR="00DA6CA2" w:rsidRPr="00A832D2">
              <w:rPr>
                <w:rFonts w:ascii="Arial" w:hAnsi="Arial" w:cs="Arial"/>
                <w:sz w:val="22"/>
                <w:szCs w:val="22"/>
              </w:rPr>
              <w:t>greifen müssen als Krankenhäuser ohne hausinterne Problemkeime. Daher verteilen sich die Kosten nicht glei</w:t>
            </w:r>
            <w:r w:rsidR="000B0880" w:rsidRPr="00A832D2">
              <w:rPr>
                <w:rFonts w:ascii="Arial" w:hAnsi="Arial" w:cs="Arial"/>
                <w:sz w:val="22"/>
                <w:szCs w:val="22"/>
              </w:rPr>
              <w:t>chmäßig auf alle Krankenhäuser.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Dementsprechend trifft auch die Aussage aus dem Extremkostenbericht, dass „</w:t>
            </w:r>
            <w:r w:rsidRPr="00A832D2">
              <w:rPr>
                <w:rFonts w:ascii="Arial" w:hAnsi="Arial" w:cs="Arial"/>
                <w:sz w:val="22"/>
                <w:szCs w:val="22"/>
              </w:rPr>
              <w:t>v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iele der betroffenen DRGs eine weitgehend zufällige Verteilung über die Krankenhäuser aufweisen, die Gabe der entsprechenden Substanzen somit keine spezifische Leistung bestimmter Krankenhäuser darstellt“, für den speziellen Fall von </w:t>
            </w:r>
            <w:proofErr w:type="spellStart"/>
            <w:r w:rsidR="00471FF4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71FF4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F92" w:rsidRPr="00A832D2">
              <w:rPr>
                <w:rFonts w:ascii="Arial" w:hAnsi="Arial" w:cs="Arial"/>
                <w:sz w:val="22"/>
                <w:szCs w:val="22"/>
              </w:rPr>
              <w:t xml:space="preserve">nicht 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zu. </w:t>
            </w:r>
            <w:r w:rsidR="00DA6CA2" w:rsidRPr="00A832D2">
              <w:rPr>
                <w:rFonts w:ascii="Arial" w:hAnsi="Arial" w:cs="Arial"/>
                <w:sz w:val="22"/>
                <w:szCs w:val="22"/>
              </w:rPr>
              <w:t xml:space="preserve">Es ist daher sinnvoll, die Kosten </w:t>
            </w:r>
            <w:r w:rsidR="009A62AE" w:rsidRPr="00A832D2">
              <w:rPr>
                <w:rFonts w:ascii="Arial" w:hAnsi="Arial" w:cs="Arial"/>
                <w:sz w:val="22"/>
                <w:szCs w:val="22"/>
              </w:rPr>
              <w:t>v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>o</w:t>
            </w:r>
            <w:r w:rsidR="009A62AE" w:rsidRPr="00A832D2"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 w:rsidR="009A62AE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9A62AE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A62AE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9A62AE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6CA2" w:rsidRPr="00A832D2">
              <w:rPr>
                <w:rFonts w:ascii="Arial" w:hAnsi="Arial" w:cs="Arial"/>
                <w:sz w:val="22"/>
                <w:szCs w:val="22"/>
              </w:rPr>
              <w:t>über ein NUB abzubilden.</w:t>
            </w:r>
          </w:p>
          <w:p w:rsidR="00471FF4" w:rsidRPr="00A832D2" w:rsidRDefault="00471FF4" w:rsidP="00DA6CA2">
            <w:pPr>
              <w:rPr>
                <w:rFonts w:ascii="Arial" w:hAnsi="Arial" w:cs="Arial"/>
                <w:sz w:val="22"/>
                <w:szCs w:val="22"/>
              </w:rPr>
            </w:pPr>
          </w:p>
          <w:p w:rsidR="00DA6CA2" w:rsidRPr="00A832D2" w:rsidRDefault="000B0880" w:rsidP="00AE29E1">
            <w:pPr>
              <w:rPr>
                <w:rFonts w:ascii="Arial" w:hAnsi="Arial" w:cs="Arial"/>
                <w:sz w:val="22"/>
                <w:szCs w:val="22"/>
              </w:rPr>
            </w:pPr>
            <w:r w:rsidRPr="00A832D2">
              <w:rPr>
                <w:rFonts w:ascii="Arial" w:hAnsi="Arial" w:cs="Arial"/>
                <w:sz w:val="22"/>
                <w:szCs w:val="22"/>
              </w:rPr>
              <w:t xml:space="preserve">Folge einer systematischen Unterfinanzierung, wie sie </w:t>
            </w:r>
            <w:r w:rsidR="00E400A8" w:rsidRPr="00A832D2">
              <w:rPr>
                <w:rFonts w:ascii="Arial" w:hAnsi="Arial" w:cs="Arial"/>
                <w:sz w:val="22"/>
                <w:szCs w:val="22"/>
              </w:rPr>
              <w:t xml:space="preserve">ohne </w:t>
            </w:r>
            <w:r w:rsidRPr="00A832D2">
              <w:rPr>
                <w:rFonts w:ascii="Arial" w:hAnsi="Arial" w:cs="Arial"/>
                <w:sz w:val="22"/>
                <w:szCs w:val="22"/>
              </w:rPr>
              <w:t>ein</w:t>
            </w:r>
            <w:r w:rsidR="00AE29E1">
              <w:rPr>
                <w:rFonts w:ascii="Arial" w:hAnsi="Arial" w:cs="Arial"/>
                <w:sz w:val="22"/>
                <w:szCs w:val="22"/>
              </w:rPr>
              <w:t>e Vergütung durch einen NUB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vorliegt, </w:t>
            </w:r>
            <w:r w:rsidR="00AE29E1">
              <w:rPr>
                <w:rFonts w:ascii="Arial" w:hAnsi="Arial" w:cs="Arial"/>
                <w:sz w:val="22"/>
                <w:szCs w:val="22"/>
              </w:rPr>
              <w:t>kann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sein, dass in Krankenhäusern mit bestimmten Problemkeimen für alle Patienten mit Verdacht auf einen 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resistenten 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Krankenhauskeim systematisch ein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Carbapenem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eingesetzt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wird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. Aufgrund des breiteren antimikrobiellen Spektrums der </w:t>
            </w:r>
            <w:proofErr w:type="spellStart"/>
            <w:r w:rsidRPr="00A832D2">
              <w:rPr>
                <w:rFonts w:ascii="Arial" w:hAnsi="Arial" w:cs="Arial"/>
                <w:sz w:val="22"/>
                <w:szCs w:val="22"/>
              </w:rPr>
              <w:t>Carbapeneme</w:t>
            </w:r>
            <w:proofErr w:type="spellEnd"/>
            <w:r w:rsidRPr="00A832D2">
              <w:rPr>
                <w:rFonts w:ascii="Arial" w:hAnsi="Arial" w:cs="Arial"/>
                <w:sz w:val="22"/>
                <w:szCs w:val="22"/>
              </w:rPr>
              <w:t xml:space="preserve"> als auch aus den anderen in Abschnitt</w:t>
            </w:r>
            <w:r w:rsidR="007A504D" w:rsidRPr="00A832D2">
              <w:rPr>
                <w:rFonts w:ascii="Arial" w:hAnsi="Arial" w:cs="Arial"/>
                <w:sz w:val="22"/>
                <w:szCs w:val="22"/>
              </w:rPr>
              <w:t xml:space="preserve"> 2.2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diskutierten Gründe</w:t>
            </w:r>
            <w:r w:rsidR="00540F92" w:rsidRPr="00A832D2">
              <w:rPr>
                <w:rFonts w:ascii="Arial" w:hAnsi="Arial" w:cs="Arial"/>
                <w:sz w:val="22"/>
                <w:szCs w:val="22"/>
              </w:rPr>
              <w:t>n</w:t>
            </w:r>
            <w:r w:rsidRPr="00A832D2">
              <w:rPr>
                <w:rFonts w:ascii="Arial" w:hAnsi="Arial" w:cs="Arial"/>
                <w:sz w:val="22"/>
                <w:szCs w:val="22"/>
              </w:rPr>
              <w:t xml:space="preserve"> ist 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B944A3" w:rsidRPr="00A832D2">
              <w:rPr>
                <w:rFonts w:ascii="Arial" w:hAnsi="Arial" w:cs="Arial"/>
                <w:sz w:val="22"/>
                <w:szCs w:val="22"/>
              </w:rPr>
              <w:t xml:space="preserve">frühe 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Anwendung von </w:t>
            </w:r>
            <w:proofErr w:type="spellStart"/>
            <w:r w:rsidR="00471FF4" w:rsidRPr="00A832D2">
              <w:rPr>
                <w:rFonts w:ascii="Arial" w:hAnsi="Arial" w:cs="Arial"/>
                <w:sz w:val="22"/>
                <w:szCs w:val="22"/>
              </w:rPr>
              <w:t>Ceftolozan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71FF4" w:rsidRPr="00A832D2">
              <w:rPr>
                <w:rFonts w:ascii="Arial" w:hAnsi="Arial" w:cs="Arial"/>
                <w:sz w:val="22"/>
                <w:szCs w:val="22"/>
              </w:rPr>
              <w:t>Tazobactam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wünschenswert </w:t>
            </w:r>
            <w:r w:rsidR="00FC6CDC">
              <w:rPr>
                <w:rFonts w:ascii="Arial" w:hAnsi="Arial" w:cs="Arial"/>
                <w:sz w:val="22"/>
                <w:szCs w:val="22"/>
              </w:rPr>
              <w:t>auch</w:t>
            </w:r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im Sinne der </w:t>
            </w:r>
            <w:proofErr w:type="spellStart"/>
            <w:r w:rsidR="00471FF4" w:rsidRPr="00A832D2">
              <w:rPr>
                <w:rFonts w:ascii="Arial" w:hAnsi="Arial" w:cs="Arial"/>
                <w:sz w:val="22"/>
                <w:szCs w:val="22"/>
              </w:rPr>
              <w:t>Antimicrobial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B5196">
              <w:rPr>
                <w:rFonts w:ascii="Arial" w:hAnsi="Arial" w:cs="Arial"/>
                <w:sz w:val="22"/>
                <w:szCs w:val="22"/>
              </w:rPr>
              <w:t>Stewardship</w:t>
            </w:r>
            <w:proofErr w:type="spellEnd"/>
            <w:r w:rsidR="00471FF4" w:rsidRPr="00A832D2">
              <w:rPr>
                <w:rFonts w:ascii="Arial" w:hAnsi="Arial" w:cs="Arial"/>
                <w:sz w:val="22"/>
                <w:szCs w:val="22"/>
              </w:rPr>
              <w:t>.</w:t>
            </w:r>
            <w:r w:rsidR="00AE29E1">
              <w:rPr>
                <w:rFonts w:ascii="Arial" w:hAnsi="Arial" w:cs="Arial"/>
                <w:sz w:val="22"/>
                <w:szCs w:val="22"/>
              </w:rPr>
              <w:t xml:space="preserve"> Durch den Ausgleich der Differenzkosten mittels NUB könnte also ein Fehlanreiz beseitigt werden.</w:t>
            </w:r>
          </w:p>
        </w:tc>
      </w:tr>
    </w:tbl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3B2E05" w:rsidP="003B2E05">
      <w:pPr>
        <w:tabs>
          <w:tab w:val="left" w:pos="1960"/>
        </w:tabs>
        <w:rPr>
          <w:rFonts w:ascii="Arial" w:hAnsi="Arial" w:cs="Arial"/>
          <w:sz w:val="22"/>
          <w:szCs w:val="22"/>
        </w:rPr>
      </w:pPr>
      <w:r w:rsidRPr="00A832D2">
        <w:rPr>
          <w:rFonts w:ascii="Arial" w:hAnsi="Arial" w:cs="Arial"/>
          <w:sz w:val="22"/>
          <w:szCs w:val="22"/>
        </w:rPr>
        <w:tab/>
      </w: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</w:p>
    <w:p w:rsidR="008E6675" w:rsidRPr="00A832D2" w:rsidRDefault="008E6675" w:rsidP="005638EB">
      <w:pPr>
        <w:rPr>
          <w:rFonts w:ascii="Arial" w:hAnsi="Arial" w:cs="Arial"/>
          <w:sz w:val="22"/>
          <w:szCs w:val="22"/>
        </w:rPr>
      </w:pPr>
      <w:r w:rsidRPr="00A832D2">
        <w:rPr>
          <w:rFonts w:ascii="Arial" w:hAnsi="Arial" w:cs="Arial"/>
          <w:sz w:val="22"/>
          <w:szCs w:val="22"/>
        </w:rPr>
        <w:tab/>
      </w:r>
    </w:p>
    <w:sectPr w:rsidR="008E6675" w:rsidRPr="00A832D2" w:rsidSect="004E1D02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0C" w:rsidRDefault="00CC680C">
      <w:r>
        <w:separator/>
      </w:r>
    </w:p>
  </w:endnote>
  <w:endnote w:type="continuationSeparator" w:id="0">
    <w:p w:rsidR="00CC680C" w:rsidRDefault="00CC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8" w:rsidRPr="0028432D" w:rsidRDefault="00F60689">
    <w:pPr>
      <w:pStyle w:val="Fuzeile"/>
      <w:rPr>
        <w:rFonts w:ascii="Arial Narrow" w:hAnsi="Arial Narrow"/>
      </w:rPr>
    </w:pPr>
    <w:r>
      <w:rPr>
        <w:rFonts w:ascii="Arial Narrow" w:hAnsi="Arial Narrow"/>
      </w:rPr>
      <w:t>NUB</w:t>
    </w:r>
    <w:r w:rsidR="00CA0301">
      <w:rPr>
        <w:rFonts w:ascii="Arial Narrow" w:hAnsi="Arial Narrow"/>
      </w:rPr>
      <w:t xml:space="preserve"> </w:t>
    </w:r>
    <w:proofErr w:type="spellStart"/>
    <w:r w:rsidR="00CA0301">
      <w:rPr>
        <w:rFonts w:ascii="Arial Narrow" w:hAnsi="Arial Narrow"/>
      </w:rPr>
      <w:t>Ceftolozan</w:t>
    </w:r>
    <w:proofErr w:type="spellEnd"/>
    <w:r w:rsidR="00CA0301">
      <w:rPr>
        <w:rFonts w:ascii="Arial Narrow" w:hAnsi="Arial Narrow"/>
      </w:rPr>
      <w:t>/</w:t>
    </w:r>
    <w:proofErr w:type="spellStart"/>
    <w:r w:rsidR="00CA0301">
      <w:rPr>
        <w:rFonts w:ascii="Arial Narrow" w:hAnsi="Arial Narrow"/>
      </w:rPr>
      <w:t>Tazobactam</w:t>
    </w:r>
    <w:proofErr w:type="spellEnd"/>
  </w:p>
  <w:p w:rsidR="00F577E8" w:rsidRPr="0028432D" w:rsidRDefault="00F577E8">
    <w:pPr>
      <w:pStyle w:val="Fuzeile"/>
      <w:rPr>
        <w:rFonts w:ascii="Arial Narrow" w:hAnsi="Arial Narrow"/>
      </w:rPr>
    </w:pPr>
  </w:p>
  <w:p w:rsidR="00F577E8" w:rsidRDefault="00F577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0C" w:rsidRDefault="00CC680C">
      <w:r>
        <w:separator/>
      </w:r>
    </w:p>
  </w:footnote>
  <w:footnote w:type="continuationSeparator" w:id="0">
    <w:p w:rsidR="00CC680C" w:rsidRDefault="00CC6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E8" w:rsidRDefault="00F577E8" w:rsidP="00596F9A">
    <w:pPr>
      <w:pStyle w:val="Titel"/>
    </w:pPr>
    <w:r>
      <w:t>NUB Antrag 201</w:t>
    </w:r>
    <w:r w:rsidR="00BD5C42">
      <w:t>5</w:t>
    </w:r>
    <w:r>
      <w:t>/201</w:t>
    </w:r>
    <w:r w:rsidR="00BD5C42">
      <w:t>6</w:t>
    </w:r>
    <w:r>
      <w:t xml:space="preserve"> </w:t>
    </w:r>
  </w:p>
  <w:p w:rsidR="00F577E8" w:rsidRDefault="00F577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B83"/>
    <w:multiLevelType w:val="multilevel"/>
    <w:tmpl w:val="1D4663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E5C1CCB"/>
    <w:multiLevelType w:val="multilevel"/>
    <w:tmpl w:val="7D0241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0F8C1304"/>
    <w:multiLevelType w:val="hybridMultilevel"/>
    <w:tmpl w:val="49187E7A"/>
    <w:lvl w:ilvl="0" w:tplc="F4DC3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CA0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B6E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B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A8A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C1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4C6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8C7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C29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E5C15"/>
    <w:multiLevelType w:val="hybridMultilevel"/>
    <w:tmpl w:val="B582DF1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1313"/>
    <w:multiLevelType w:val="hybridMultilevel"/>
    <w:tmpl w:val="7F4E33F6"/>
    <w:lvl w:ilvl="0" w:tplc="9AEE24C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81F03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DC57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D50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98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68C7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31E2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AEE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5C5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DC15EE"/>
    <w:multiLevelType w:val="multilevel"/>
    <w:tmpl w:val="E7206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96300F9"/>
    <w:multiLevelType w:val="hybridMultilevel"/>
    <w:tmpl w:val="D0F4BD28"/>
    <w:lvl w:ilvl="0" w:tplc="47D65AF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22"/>
      </w:rPr>
    </w:lvl>
    <w:lvl w:ilvl="1" w:tplc="3AC05F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0DA7D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27838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0A4437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7C9ABF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FE61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0100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2C4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82932CF"/>
    <w:multiLevelType w:val="hybridMultilevel"/>
    <w:tmpl w:val="ADDAF92C"/>
    <w:lvl w:ilvl="0" w:tplc="871E2DC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E6F25"/>
    <w:multiLevelType w:val="multilevel"/>
    <w:tmpl w:val="6F323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9">
    <w:nsid w:val="3D3B418C"/>
    <w:multiLevelType w:val="hybridMultilevel"/>
    <w:tmpl w:val="E438E4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3F5A"/>
    <w:multiLevelType w:val="hybridMultilevel"/>
    <w:tmpl w:val="817ACCE6"/>
    <w:lvl w:ilvl="0" w:tplc="44840A24">
      <w:numFmt w:val="bullet"/>
      <w:lvlText w:val="-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B1A21"/>
    <w:multiLevelType w:val="hybridMultilevel"/>
    <w:tmpl w:val="8BACE4F6"/>
    <w:lvl w:ilvl="0" w:tplc="9214804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</w:rPr>
    </w:lvl>
    <w:lvl w:ilvl="1" w:tplc="296C68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049F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80E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C8E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10F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86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2D23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4869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297720"/>
    <w:multiLevelType w:val="hybridMultilevel"/>
    <w:tmpl w:val="D372435A"/>
    <w:lvl w:ilvl="0" w:tplc="89948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103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A25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CE2C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68E7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256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68F5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521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EFC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F32EE"/>
    <w:multiLevelType w:val="hybridMultilevel"/>
    <w:tmpl w:val="C30E6F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">
    <w15:presenceInfo w15:providerId="None" w15:userId="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B1"/>
    <w:rsid w:val="00021B5A"/>
    <w:rsid w:val="0002326F"/>
    <w:rsid w:val="00024651"/>
    <w:rsid w:val="00025A10"/>
    <w:rsid w:val="000264B8"/>
    <w:rsid w:val="00032D95"/>
    <w:rsid w:val="0004077A"/>
    <w:rsid w:val="0004094A"/>
    <w:rsid w:val="00041CEE"/>
    <w:rsid w:val="00051424"/>
    <w:rsid w:val="0006209C"/>
    <w:rsid w:val="00072A33"/>
    <w:rsid w:val="00090DD1"/>
    <w:rsid w:val="000922C2"/>
    <w:rsid w:val="000A0C60"/>
    <w:rsid w:val="000B0880"/>
    <w:rsid w:val="000B5850"/>
    <w:rsid w:val="000B6213"/>
    <w:rsid w:val="000C704A"/>
    <w:rsid w:val="000D5E12"/>
    <w:rsid w:val="000D6C94"/>
    <w:rsid w:val="000D6F45"/>
    <w:rsid w:val="000E2D0C"/>
    <w:rsid w:val="000E7595"/>
    <w:rsid w:val="000F7BED"/>
    <w:rsid w:val="00120F40"/>
    <w:rsid w:val="00125E2C"/>
    <w:rsid w:val="00146505"/>
    <w:rsid w:val="0016346E"/>
    <w:rsid w:val="00163FD1"/>
    <w:rsid w:val="001748C6"/>
    <w:rsid w:val="00174C6A"/>
    <w:rsid w:val="00176DCA"/>
    <w:rsid w:val="001810AC"/>
    <w:rsid w:val="0018398D"/>
    <w:rsid w:val="001A1A55"/>
    <w:rsid w:val="001B6EBD"/>
    <w:rsid w:val="001D10F7"/>
    <w:rsid w:val="001D6F27"/>
    <w:rsid w:val="001D72BC"/>
    <w:rsid w:val="001E2D36"/>
    <w:rsid w:val="002005AF"/>
    <w:rsid w:val="00210427"/>
    <w:rsid w:val="00214A79"/>
    <w:rsid w:val="00234FB1"/>
    <w:rsid w:val="00235DBA"/>
    <w:rsid w:val="00237B16"/>
    <w:rsid w:val="00247167"/>
    <w:rsid w:val="00270D33"/>
    <w:rsid w:val="00276234"/>
    <w:rsid w:val="0028432D"/>
    <w:rsid w:val="002844C6"/>
    <w:rsid w:val="00284EDB"/>
    <w:rsid w:val="00285393"/>
    <w:rsid w:val="00293AEF"/>
    <w:rsid w:val="00293B91"/>
    <w:rsid w:val="00297717"/>
    <w:rsid w:val="002A2E08"/>
    <w:rsid w:val="002A3C5E"/>
    <w:rsid w:val="002B30DA"/>
    <w:rsid w:val="002C1C86"/>
    <w:rsid w:val="002D2156"/>
    <w:rsid w:val="002D3D02"/>
    <w:rsid w:val="002D5175"/>
    <w:rsid w:val="002D7403"/>
    <w:rsid w:val="002F27AD"/>
    <w:rsid w:val="0030468A"/>
    <w:rsid w:val="0030630E"/>
    <w:rsid w:val="00312387"/>
    <w:rsid w:val="00312982"/>
    <w:rsid w:val="003210A9"/>
    <w:rsid w:val="00326E0A"/>
    <w:rsid w:val="00327BF3"/>
    <w:rsid w:val="00332AD3"/>
    <w:rsid w:val="0033758E"/>
    <w:rsid w:val="003432F0"/>
    <w:rsid w:val="003479E5"/>
    <w:rsid w:val="00347C0F"/>
    <w:rsid w:val="0035680B"/>
    <w:rsid w:val="00356F7B"/>
    <w:rsid w:val="003577D2"/>
    <w:rsid w:val="00361F23"/>
    <w:rsid w:val="0036325A"/>
    <w:rsid w:val="0037464F"/>
    <w:rsid w:val="003829BD"/>
    <w:rsid w:val="00393B20"/>
    <w:rsid w:val="00393CC9"/>
    <w:rsid w:val="003975F7"/>
    <w:rsid w:val="003A35FC"/>
    <w:rsid w:val="003A3C2D"/>
    <w:rsid w:val="003B2E05"/>
    <w:rsid w:val="003B6943"/>
    <w:rsid w:val="003C2A2E"/>
    <w:rsid w:val="003C65A4"/>
    <w:rsid w:val="003D0188"/>
    <w:rsid w:val="003D0B73"/>
    <w:rsid w:val="003E4D2C"/>
    <w:rsid w:val="003F2692"/>
    <w:rsid w:val="003F5B0B"/>
    <w:rsid w:val="003F6B16"/>
    <w:rsid w:val="0040254A"/>
    <w:rsid w:val="00403C5C"/>
    <w:rsid w:val="0041156E"/>
    <w:rsid w:val="004171EF"/>
    <w:rsid w:val="00456B86"/>
    <w:rsid w:val="004642E2"/>
    <w:rsid w:val="00471FF4"/>
    <w:rsid w:val="0047608F"/>
    <w:rsid w:val="004853EE"/>
    <w:rsid w:val="00486EC1"/>
    <w:rsid w:val="004937B0"/>
    <w:rsid w:val="004966F2"/>
    <w:rsid w:val="004A2F89"/>
    <w:rsid w:val="004A4ECC"/>
    <w:rsid w:val="004B3438"/>
    <w:rsid w:val="004B53DB"/>
    <w:rsid w:val="004B5F04"/>
    <w:rsid w:val="004B624B"/>
    <w:rsid w:val="004B6C59"/>
    <w:rsid w:val="004C4D1C"/>
    <w:rsid w:val="004E1D02"/>
    <w:rsid w:val="004F2C20"/>
    <w:rsid w:val="0050087A"/>
    <w:rsid w:val="0050526A"/>
    <w:rsid w:val="00530416"/>
    <w:rsid w:val="005361B4"/>
    <w:rsid w:val="00540F92"/>
    <w:rsid w:val="00541169"/>
    <w:rsid w:val="00543A48"/>
    <w:rsid w:val="005443BD"/>
    <w:rsid w:val="005524BC"/>
    <w:rsid w:val="005565B4"/>
    <w:rsid w:val="005631C6"/>
    <w:rsid w:val="005638EB"/>
    <w:rsid w:val="0056625F"/>
    <w:rsid w:val="005730A3"/>
    <w:rsid w:val="00577699"/>
    <w:rsid w:val="00581565"/>
    <w:rsid w:val="00587522"/>
    <w:rsid w:val="00596F9A"/>
    <w:rsid w:val="005B3AA0"/>
    <w:rsid w:val="005B6650"/>
    <w:rsid w:val="005C0943"/>
    <w:rsid w:val="005C7917"/>
    <w:rsid w:val="005E68FA"/>
    <w:rsid w:val="005F29C6"/>
    <w:rsid w:val="005F4D2E"/>
    <w:rsid w:val="00604A14"/>
    <w:rsid w:val="006060DA"/>
    <w:rsid w:val="00610859"/>
    <w:rsid w:val="00614AA6"/>
    <w:rsid w:val="00640D1B"/>
    <w:rsid w:val="006549F4"/>
    <w:rsid w:val="00670545"/>
    <w:rsid w:val="00690428"/>
    <w:rsid w:val="00692F25"/>
    <w:rsid w:val="00694FFC"/>
    <w:rsid w:val="006A4054"/>
    <w:rsid w:val="006B3307"/>
    <w:rsid w:val="006B545F"/>
    <w:rsid w:val="006B78AD"/>
    <w:rsid w:val="006C1A3D"/>
    <w:rsid w:val="006E0E6F"/>
    <w:rsid w:val="00702442"/>
    <w:rsid w:val="007064BC"/>
    <w:rsid w:val="0071786B"/>
    <w:rsid w:val="00733701"/>
    <w:rsid w:val="007443A0"/>
    <w:rsid w:val="007600D1"/>
    <w:rsid w:val="007742A8"/>
    <w:rsid w:val="00783365"/>
    <w:rsid w:val="007950A6"/>
    <w:rsid w:val="007A3010"/>
    <w:rsid w:val="007A504D"/>
    <w:rsid w:val="007A6F09"/>
    <w:rsid w:val="007B0C84"/>
    <w:rsid w:val="007B4A71"/>
    <w:rsid w:val="007C10EB"/>
    <w:rsid w:val="007C7E57"/>
    <w:rsid w:val="007D47D1"/>
    <w:rsid w:val="007F1147"/>
    <w:rsid w:val="007F120C"/>
    <w:rsid w:val="008042AB"/>
    <w:rsid w:val="00807564"/>
    <w:rsid w:val="00815250"/>
    <w:rsid w:val="00816924"/>
    <w:rsid w:val="00822EAE"/>
    <w:rsid w:val="00825C85"/>
    <w:rsid w:val="00850D44"/>
    <w:rsid w:val="00860D12"/>
    <w:rsid w:val="008722CA"/>
    <w:rsid w:val="008818FC"/>
    <w:rsid w:val="00893EE6"/>
    <w:rsid w:val="008B00DF"/>
    <w:rsid w:val="008B37BC"/>
    <w:rsid w:val="008B4504"/>
    <w:rsid w:val="008B7E14"/>
    <w:rsid w:val="008C05A3"/>
    <w:rsid w:val="008C1686"/>
    <w:rsid w:val="008D12DD"/>
    <w:rsid w:val="008D19BA"/>
    <w:rsid w:val="008D6955"/>
    <w:rsid w:val="008E4F67"/>
    <w:rsid w:val="008E6675"/>
    <w:rsid w:val="008F019F"/>
    <w:rsid w:val="008F04AD"/>
    <w:rsid w:val="008F3C66"/>
    <w:rsid w:val="0090081A"/>
    <w:rsid w:val="00903F4E"/>
    <w:rsid w:val="00917B80"/>
    <w:rsid w:val="00925680"/>
    <w:rsid w:val="00926A21"/>
    <w:rsid w:val="00926FE3"/>
    <w:rsid w:val="00930D83"/>
    <w:rsid w:val="009439E3"/>
    <w:rsid w:val="00952B10"/>
    <w:rsid w:val="009617A1"/>
    <w:rsid w:val="00977545"/>
    <w:rsid w:val="009A121F"/>
    <w:rsid w:val="009A1EF1"/>
    <w:rsid w:val="009A49E2"/>
    <w:rsid w:val="009A62AE"/>
    <w:rsid w:val="009B1C7E"/>
    <w:rsid w:val="009B2371"/>
    <w:rsid w:val="009B3180"/>
    <w:rsid w:val="009C0B84"/>
    <w:rsid w:val="009D11A8"/>
    <w:rsid w:val="009D527C"/>
    <w:rsid w:val="009F4494"/>
    <w:rsid w:val="009F701D"/>
    <w:rsid w:val="00A00CCB"/>
    <w:rsid w:val="00A039C8"/>
    <w:rsid w:val="00A21E9E"/>
    <w:rsid w:val="00A315BF"/>
    <w:rsid w:val="00A33007"/>
    <w:rsid w:val="00A345A9"/>
    <w:rsid w:val="00A372DB"/>
    <w:rsid w:val="00A4091D"/>
    <w:rsid w:val="00A51727"/>
    <w:rsid w:val="00A530BE"/>
    <w:rsid w:val="00A712B1"/>
    <w:rsid w:val="00A74932"/>
    <w:rsid w:val="00A832D2"/>
    <w:rsid w:val="00A83C96"/>
    <w:rsid w:val="00A87D13"/>
    <w:rsid w:val="00A93AAD"/>
    <w:rsid w:val="00AB5196"/>
    <w:rsid w:val="00AC2172"/>
    <w:rsid w:val="00AE213B"/>
    <w:rsid w:val="00AE29E1"/>
    <w:rsid w:val="00AE4C49"/>
    <w:rsid w:val="00AF27B0"/>
    <w:rsid w:val="00AF7755"/>
    <w:rsid w:val="00B03A61"/>
    <w:rsid w:val="00B06092"/>
    <w:rsid w:val="00B07FF1"/>
    <w:rsid w:val="00B22794"/>
    <w:rsid w:val="00B32F43"/>
    <w:rsid w:val="00B362EA"/>
    <w:rsid w:val="00B4252D"/>
    <w:rsid w:val="00B52581"/>
    <w:rsid w:val="00B55300"/>
    <w:rsid w:val="00B574E9"/>
    <w:rsid w:val="00B6570D"/>
    <w:rsid w:val="00B72310"/>
    <w:rsid w:val="00B72FA4"/>
    <w:rsid w:val="00B773B8"/>
    <w:rsid w:val="00B86C4E"/>
    <w:rsid w:val="00B87995"/>
    <w:rsid w:val="00B87C26"/>
    <w:rsid w:val="00B944A3"/>
    <w:rsid w:val="00B94C86"/>
    <w:rsid w:val="00BB060C"/>
    <w:rsid w:val="00BB4A54"/>
    <w:rsid w:val="00BB5229"/>
    <w:rsid w:val="00BC3A54"/>
    <w:rsid w:val="00BC4042"/>
    <w:rsid w:val="00BD13F2"/>
    <w:rsid w:val="00BD5C42"/>
    <w:rsid w:val="00BF05EC"/>
    <w:rsid w:val="00BF11AE"/>
    <w:rsid w:val="00BF24F0"/>
    <w:rsid w:val="00BF25F5"/>
    <w:rsid w:val="00BF4B17"/>
    <w:rsid w:val="00C0383C"/>
    <w:rsid w:val="00C060B9"/>
    <w:rsid w:val="00C2104B"/>
    <w:rsid w:val="00C216FD"/>
    <w:rsid w:val="00C5633F"/>
    <w:rsid w:val="00C66ACB"/>
    <w:rsid w:val="00C76D2F"/>
    <w:rsid w:val="00C76DD7"/>
    <w:rsid w:val="00CA0301"/>
    <w:rsid w:val="00CA2EA3"/>
    <w:rsid w:val="00CC680C"/>
    <w:rsid w:val="00CD1186"/>
    <w:rsid w:val="00CD2365"/>
    <w:rsid w:val="00CD49A0"/>
    <w:rsid w:val="00CD565E"/>
    <w:rsid w:val="00CE69F3"/>
    <w:rsid w:val="00CF5465"/>
    <w:rsid w:val="00CF5ECC"/>
    <w:rsid w:val="00D15F63"/>
    <w:rsid w:val="00D216BD"/>
    <w:rsid w:val="00D21A79"/>
    <w:rsid w:val="00D25F89"/>
    <w:rsid w:val="00D3526B"/>
    <w:rsid w:val="00D36458"/>
    <w:rsid w:val="00D3787B"/>
    <w:rsid w:val="00D5472B"/>
    <w:rsid w:val="00D849B5"/>
    <w:rsid w:val="00D87B96"/>
    <w:rsid w:val="00D9586E"/>
    <w:rsid w:val="00DA6639"/>
    <w:rsid w:val="00DA6CA2"/>
    <w:rsid w:val="00DB4789"/>
    <w:rsid w:val="00DC0905"/>
    <w:rsid w:val="00DC0BE3"/>
    <w:rsid w:val="00DC7EE2"/>
    <w:rsid w:val="00E03E89"/>
    <w:rsid w:val="00E04BCB"/>
    <w:rsid w:val="00E1234D"/>
    <w:rsid w:val="00E24E3B"/>
    <w:rsid w:val="00E36FC8"/>
    <w:rsid w:val="00E400A8"/>
    <w:rsid w:val="00E4567C"/>
    <w:rsid w:val="00E86725"/>
    <w:rsid w:val="00E96772"/>
    <w:rsid w:val="00EA3454"/>
    <w:rsid w:val="00EA6936"/>
    <w:rsid w:val="00EB4AC5"/>
    <w:rsid w:val="00EB5AA6"/>
    <w:rsid w:val="00EC0987"/>
    <w:rsid w:val="00EC7773"/>
    <w:rsid w:val="00ED64BD"/>
    <w:rsid w:val="00EE25AB"/>
    <w:rsid w:val="00EE5875"/>
    <w:rsid w:val="00EF5E94"/>
    <w:rsid w:val="00EF7F0A"/>
    <w:rsid w:val="00F000AA"/>
    <w:rsid w:val="00F2059A"/>
    <w:rsid w:val="00F21DFD"/>
    <w:rsid w:val="00F22B81"/>
    <w:rsid w:val="00F233AA"/>
    <w:rsid w:val="00F34269"/>
    <w:rsid w:val="00F50211"/>
    <w:rsid w:val="00F530E1"/>
    <w:rsid w:val="00F543CE"/>
    <w:rsid w:val="00F577E8"/>
    <w:rsid w:val="00F605CF"/>
    <w:rsid w:val="00F60689"/>
    <w:rsid w:val="00F738C1"/>
    <w:rsid w:val="00F7423E"/>
    <w:rsid w:val="00F84D6E"/>
    <w:rsid w:val="00F91167"/>
    <w:rsid w:val="00F9294F"/>
    <w:rsid w:val="00FA2847"/>
    <w:rsid w:val="00FB3926"/>
    <w:rsid w:val="00FC6CDC"/>
    <w:rsid w:val="00FD56FB"/>
    <w:rsid w:val="00FE196A"/>
    <w:rsid w:val="00FE619D"/>
    <w:rsid w:val="00FE6F18"/>
    <w:rsid w:val="00FE6F20"/>
    <w:rsid w:val="00FF1165"/>
    <w:rsid w:val="00FF469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F63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7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7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59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D5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F63"/>
    <w:rPr>
      <w:sz w:val="24"/>
      <w:szCs w:val="24"/>
    </w:rPr>
  </w:style>
  <w:style w:type="paragraph" w:styleId="berschrift2">
    <w:name w:val="heading 2"/>
    <w:basedOn w:val="Standard"/>
    <w:link w:val="berschrift2Zchn"/>
    <w:uiPriority w:val="99"/>
    <w:qFormat/>
    <w:rsid w:val="004E1D02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8B4504"/>
    <w:rPr>
      <w:rFonts w:ascii="Cambria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4E1D02"/>
    <w:pPr>
      <w:spacing w:line="480" w:lineRule="auto"/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B4504"/>
    <w:rPr>
      <w:rFonts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4E1D0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Absatz-Standardschriftart"/>
    <w:uiPriority w:val="99"/>
    <w:rsid w:val="004E1D02"/>
    <w:rPr>
      <w:rFonts w:cs="Times New Roman"/>
      <w:color w:val="0000FF"/>
      <w:u w:val="single"/>
    </w:rPr>
  </w:style>
  <w:style w:type="paragraph" w:styleId="Textkrper2">
    <w:name w:val="Body Text 2"/>
    <w:basedOn w:val="Standard"/>
    <w:link w:val="Textkrper2Zchn"/>
    <w:uiPriority w:val="99"/>
    <w:rsid w:val="004E1D02"/>
    <w:rPr>
      <w:rFonts w:ascii="Arial" w:hAnsi="Arial" w:cs="Arial"/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8B4504"/>
    <w:rPr>
      <w:rFonts w:cs="Times New Roman"/>
      <w:sz w:val="24"/>
      <w:szCs w:val="24"/>
    </w:rPr>
  </w:style>
  <w:style w:type="paragraph" w:customStyle="1" w:styleId="affiliation">
    <w:name w:val="affiliation"/>
    <w:basedOn w:val="Standard"/>
    <w:uiPriority w:val="99"/>
    <w:rsid w:val="004E1D02"/>
    <w:rPr>
      <w:color w:val="000000"/>
    </w:rPr>
  </w:style>
  <w:style w:type="character" w:customStyle="1" w:styleId="ti2">
    <w:name w:val="ti2"/>
    <w:basedOn w:val="Absatz-Standardschriftart"/>
    <w:uiPriority w:val="99"/>
    <w:rsid w:val="004E1D02"/>
    <w:rPr>
      <w:rFonts w:cs="Times New Roman"/>
    </w:rPr>
  </w:style>
  <w:style w:type="character" w:customStyle="1" w:styleId="featuredlinkouts">
    <w:name w:val="featured_linkouts"/>
    <w:basedOn w:val="Absatz-Standardschriftart"/>
    <w:uiPriority w:val="99"/>
    <w:rsid w:val="004E1D02"/>
    <w:rPr>
      <w:rFonts w:cs="Times New Roman"/>
    </w:rPr>
  </w:style>
  <w:style w:type="character" w:customStyle="1" w:styleId="linkbar">
    <w:name w:val="linkbar"/>
    <w:basedOn w:val="Absatz-Standardschriftart"/>
    <w:uiPriority w:val="99"/>
    <w:rsid w:val="004E1D02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4E1D02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4E1D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B4504"/>
    <w:rPr>
      <w:rFonts w:cs="Times New Roman"/>
      <w:sz w:val="2"/>
    </w:rPr>
  </w:style>
  <w:style w:type="paragraph" w:styleId="Titel">
    <w:name w:val="Title"/>
    <w:basedOn w:val="Standard"/>
    <w:next w:val="Standard"/>
    <w:link w:val="TitelZchn"/>
    <w:uiPriority w:val="99"/>
    <w:qFormat/>
    <w:rsid w:val="005638EB"/>
    <w:pPr>
      <w:pBdr>
        <w:bottom w:val="single" w:sz="8" w:space="4" w:color="2DA2BF"/>
      </w:pBdr>
      <w:spacing w:after="300"/>
      <w:contextualSpacing/>
    </w:pPr>
    <w:rPr>
      <w:rFonts w:ascii="Lucida Sans Unicode" w:hAnsi="Lucida Sans Unicode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5638EB"/>
    <w:rPr>
      <w:rFonts w:ascii="Lucida Sans Unicode" w:hAnsi="Lucida Sans Unicode" w:cs="Times New Roman"/>
      <w:color w:val="343434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B4504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E1D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B4504"/>
    <w:rPr>
      <w:rFonts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7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75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7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7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759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D5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cdc.europe.eu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antibiotika-sari.d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7cd47945-6b3b-43a6-a00b-28702725611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D5F51-5591-4C0F-9EA5-795615A54D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00D5F88-7329-4426-BEC6-9C85EC45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2594</Words>
  <Characters>16343</Characters>
  <Application>Microsoft Office Word</Application>
  <DocSecurity>0</DocSecurity>
  <Lines>136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Klinikum der Universitaet Muenchen</Company>
  <LinksUpToDate>false</LinksUpToDate>
  <CharactersWithSpaces>18900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Massenkeil</dc:creator>
  <cp:lastModifiedBy>Hoffmann, Martin</cp:lastModifiedBy>
  <cp:revision>2</cp:revision>
  <cp:lastPrinted>2015-09-11T07:28:00Z</cp:lastPrinted>
  <dcterms:created xsi:type="dcterms:W3CDTF">2015-09-25T06:46:00Z</dcterms:created>
  <dcterms:modified xsi:type="dcterms:W3CDTF">2015-09-25T06:46:00Z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f7230175-8f38-4af3-8197-8621667bc4c9</vt:lpwstr>
  </property>
  <property fmtid="{D5CDD505-2E9C-101B-9397-08002B2CF9AE}" pid="3" name="bjSaver">
    <vt:lpwstr>lHfgmmqa2znloh1hrWiaqrbNVjd50voP</vt:lpwstr>
  </property>
  <property fmtid="{D5CDD505-2E9C-101B-9397-08002B2CF9AE}" pid="4" name="_NewReviewCycle">
    <vt:lpwstr/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6" name="bjDocumentLabelXML-0">
    <vt:lpwstr>nternal/label"&gt;&lt;element uid="7cd47945-6b3b-43a6-a00b-28702725611b" value="" /&gt;&lt;/sisl&gt;</vt:lpwstr>
  </property>
  <property fmtid="{D5CDD505-2E9C-101B-9397-08002B2CF9AE}" pid="7" name="bjDocumentSecurityLabel">
    <vt:lpwstr>Nicht klassifiziert-Not Classified</vt:lpwstr>
  </property>
</Properties>
</file>